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9233" w14:textId="76FF6B30" w:rsidR="006F00EF" w:rsidRPr="00A5756B" w:rsidRDefault="00A5756B" w:rsidP="00ED3A0C">
      <w:bookmarkStart w:id="0" w:name="xxDocument"/>
      <w:bookmarkEnd w:id="0"/>
      <w:r w:rsidRPr="00A5756B">
        <w:t>2019-0</w:t>
      </w:r>
      <w:r w:rsidR="001711AD">
        <w:t>4-0</w:t>
      </w:r>
      <w:r w:rsidR="00EA7CC6">
        <w:t>8</w:t>
      </w:r>
    </w:p>
    <w:p w14:paraId="4FC16D51" w14:textId="77777777" w:rsidR="00A5756B" w:rsidRDefault="00A5756B" w:rsidP="00A5756B">
      <w:pPr>
        <w:pStyle w:val="Huvudrubrik"/>
      </w:pPr>
      <w:r w:rsidRPr="00A5756B">
        <w:t>AGAR: Konsultation 1: Definition av alternativ referensränta</w:t>
      </w:r>
      <w:bookmarkStart w:id="1" w:name="Position"/>
      <w:bookmarkEnd w:id="1"/>
    </w:p>
    <w:sdt>
      <w:sdtPr>
        <w:rPr>
          <w:rFonts w:ascii="Arial" w:eastAsia="Times New Roman" w:hAnsi="Arial" w:cs="Arial"/>
          <w:color w:val="000000"/>
          <w:sz w:val="22"/>
          <w:szCs w:val="24"/>
        </w:rPr>
        <w:id w:val="-1620455248"/>
        <w:docPartObj>
          <w:docPartGallery w:val="Table of Contents"/>
          <w:docPartUnique/>
        </w:docPartObj>
      </w:sdtPr>
      <w:sdtEndPr>
        <w:rPr>
          <w:b/>
          <w:bCs/>
        </w:rPr>
      </w:sdtEndPr>
      <w:sdtContent>
        <w:p w14:paraId="64A18173" w14:textId="0BAEE5DC" w:rsidR="001711AD" w:rsidRPr="001711AD" w:rsidRDefault="001711AD">
          <w:pPr>
            <w:pStyle w:val="Innehllsfrteckningsrubrik"/>
            <w:rPr>
              <w:rStyle w:val="HuvudrubrikChar"/>
            </w:rPr>
          </w:pPr>
          <w:r w:rsidRPr="001711AD">
            <w:rPr>
              <w:rStyle w:val="HuvudrubrikChar"/>
            </w:rPr>
            <w:t>Innehåll</w:t>
          </w:r>
        </w:p>
        <w:p w14:paraId="43FA98E0" w14:textId="2D76132B" w:rsidR="009E5888" w:rsidRDefault="001711AD">
          <w:pPr>
            <w:pStyle w:val="Innehll1"/>
            <w:tabs>
              <w:tab w:val="right" w:leader="dot" w:pos="8268"/>
            </w:tabs>
            <w:rPr>
              <w:rFonts w:asciiTheme="minorHAnsi" w:eastAsiaTheme="minorEastAsia" w:hAnsiTheme="minorHAnsi" w:cstheme="minorBidi"/>
              <w:b w:val="0"/>
              <w:noProof/>
              <w:color w:val="auto"/>
              <w:szCs w:val="22"/>
            </w:rPr>
          </w:pPr>
          <w:r>
            <w:rPr>
              <w:bCs/>
            </w:rPr>
            <w:fldChar w:fldCharType="begin"/>
          </w:r>
          <w:r>
            <w:rPr>
              <w:bCs/>
            </w:rPr>
            <w:instrText xml:space="preserve"> TOC \o "1-3" \h \z \u </w:instrText>
          </w:r>
          <w:r>
            <w:rPr>
              <w:bCs/>
            </w:rPr>
            <w:fldChar w:fldCharType="separate"/>
          </w:r>
          <w:hyperlink w:anchor="_Toc5118741" w:history="1">
            <w:r w:rsidR="009E5888" w:rsidRPr="00674934">
              <w:rPr>
                <w:rStyle w:val="Hyperlnk"/>
                <w:noProof/>
              </w:rPr>
              <w:t>1. Introduktion</w:t>
            </w:r>
            <w:r w:rsidR="009E5888">
              <w:rPr>
                <w:noProof/>
                <w:webHidden/>
              </w:rPr>
              <w:tab/>
            </w:r>
            <w:r w:rsidR="009E5888">
              <w:rPr>
                <w:noProof/>
                <w:webHidden/>
              </w:rPr>
              <w:fldChar w:fldCharType="begin"/>
            </w:r>
            <w:r w:rsidR="009E5888">
              <w:rPr>
                <w:noProof/>
                <w:webHidden/>
              </w:rPr>
              <w:instrText xml:space="preserve"> PAGEREF _Toc5118741 \h </w:instrText>
            </w:r>
            <w:r w:rsidR="009E5888">
              <w:rPr>
                <w:noProof/>
                <w:webHidden/>
              </w:rPr>
            </w:r>
            <w:r w:rsidR="009E5888">
              <w:rPr>
                <w:noProof/>
                <w:webHidden/>
              </w:rPr>
              <w:fldChar w:fldCharType="separate"/>
            </w:r>
            <w:r w:rsidR="007E17A4">
              <w:rPr>
                <w:noProof/>
                <w:webHidden/>
              </w:rPr>
              <w:t>1</w:t>
            </w:r>
            <w:r w:rsidR="009E5888">
              <w:rPr>
                <w:noProof/>
                <w:webHidden/>
              </w:rPr>
              <w:fldChar w:fldCharType="end"/>
            </w:r>
          </w:hyperlink>
        </w:p>
        <w:p w14:paraId="7FC799D8" w14:textId="585B8E2A" w:rsidR="009E5888" w:rsidRDefault="005B733B">
          <w:pPr>
            <w:pStyle w:val="Innehll2"/>
            <w:tabs>
              <w:tab w:val="right" w:leader="dot" w:pos="8268"/>
            </w:tabs>
            <w:rPr>
              <w:rFonts w:asciiTheme="minorHAnsi" w:eastAsiaTheme="minorEastAsia" w:hAnsiTheme="minorHAnsi" w:cstheme="minorBidi"/>
              <w:noProof/>
              <w:color w:val="auto"/>
              <w:szCs w:val="22"/>
            </w:rPr>
          </w:pPr>
          <w:hyperlink w:anchor="_Toc5118742" w:history="1">
            <w:r w:rsidR="009E5888" w:rsidRPr="00674934">
              <w:rPr>
                <w:rStyle w:val="Hyperlnk"/>
                <w:noProof/>
              </w:rPr>
              <w:t>1.1. Sammanfattning av konsultationen</w:t>
            </w:r>
            <w:r w:rsidR="009E5888">
              <w:rPr>
                <w:noProof/>
                <w:webHidden/>
              </w:rPr>
              <w:tab/>
            </w:r>
            <w:r w:rsidR="009E5888">
              <w:rPr>
                <w:noProof/>
                <w:webHidden/>
              </w:rPr>
              <w:fldChar w:fldCharType="begin"/>
            </w:r>
            <w:r w:rsidR="009E5888">
              <w:rPr>
                <w:noProof/>
                <w:webHidden/>
              </w:rPr>
              <w:instrText xml:space="preserve"> PAGEREF _Toc5118742 \h </w:instrText>
            </w:r>
            <w:r w:rsidR="009E5888">
              <w:rPr>
                <w:noProof/>
                <w:webHidden/>
              </w:rPr>
            </w:r>
            <w:r w:rsidR="009E5888">
              <w:rPr>
                <w:noProof/>
                <w:webHidden/>
              </w:rPr>
              <w:fldChar w:fldCharType="separate"/>
            </w:r>
            <w:r w:rsidR="007E17A4">
              <w:rPr>
                <w:noProof/>
                <w:webHidden/>
              </w:rPr>
              <w:t>1</w:t>
            </w:r>
            <w:r w:rsidR="009E5888">
              <w:rPr>
                <w:noProof/>
                <w:webHidden/>
              </w:rPr>
              <w:fldChar w:fldCharType="end"/>
            </w:r>
          </w:hyperlink>
        </w:p>
        <w:p w14:paraId="2765F6D2" w14:textId="746222A9" w:rsidR="009E5888" w:rsidRDefault="005B733B">
          <w:pPr>
            <w:pStyle w:val="Innehll2"/>
            <w:tabs>
              <w:tab w:val="right" w:leader="dot" w:pos="8268"/>
            </w:tabs>
            <w:rPr>
              <w:rFonts w:asciiTheme="minorHAnsi" w:eastAsiaTheme="minorEastAsia" w:hAnsiTheme="minorHAnsi" w:cstheme="minorBidi"/>
              <w:noProof/>
              <w:color w:val="auto"/>
              <w:szCs w:val="22"/>
            </w:rPr>
          </w:pPr>
          <w:hyperlink w:anchor="_Toc5118743" w:history="1">
            <w:r w:rsidR="009E5888" w:rsidRPr="00674934">
              <w:rPr>
                <w:rStyle w:val="Hyperlnk"/>
                <w:noProof/>
              </w:rPr>
              <w:t>1.2. Arbetsgruppen för alternativa referensräntor</w:t>
            </w:r>
            <w:r w:rsidR="009E5888">
              <w:rPr>
                <w:noProof/>
                <w:webHidden/>
              </w:rPr>
              <w:tab/>
            </w:r>
            <w:r w:rsidR="009E5888">
              <w:rPr>
                <w:noProof/>
                <w:webHidden/>
              </w:rPr>
              <w:fldChar w:fldCharType="begin"/>
            </w:r>
            <w:r w:rsidR="009E5888">
              <w:rPr>
                <w:noProof/>
                <w:webHidden/>
              </w:rPr>
              <w:instrText xml:space="preserve"> PAGEREF _Toc5118743 \h </w:instrText>
            </w:r>
            <w:r w:rsidR="009E5888">
              <w:rPr>
                <w:noProof/>
                <w:webHidden/>
              </w:rPr>
            </w:r>
            <w:r w:rsidR="009E5888">
              <w:rPr>
                <w:noProof/>
                <w:webHidden/>
              </w:rPr>
              <w:fldChar w:fldCharType="separate"/>
            </w:r>
            <w:r w:rsidR="007E17A4">
              <w:rPr>
                <w:noProof/>
                <w:webHidden/>
              </w:rPr>
              <w:t>2</w:t>
            </w:r>
            <w:r w:rsidR="009E5888">
              <w:rPr>
                <w:noProof/>
                <w:webHidden/>
              </w:rPr>
              <w:fldChar w:fldCharType="end"/>
            </w:r>
          </w:hyperlink>
        </w:p>
        <w:p w14:paraId="0DBA99CE" w14:textId="4B9BCC8B" w:rsidR="009E5888" w:rsidRDefault="005B733B">
          <w:pPr>
            <w:pStyle w:val="Innehll1"/>
            <w:tabs>
              <w:tab w:val="right" w:leader="dot" w:pos="8268"/>
            </w:tabs>
            <w:rPr>
              <w:rFonts w:asciiTheme="minorHAnsi" w:eastAsiaTheme="minorEastAsia" w:hAnsiTheme="minorHAnsi" w:cstheme="minorBidi"/>
              <w:b w:val="0"/>
              <w:noProof/>
              <w:color w:val="auto"/>
              <w:szCs w:val="22"/>
            </w:rPr>
          </w:pPr>
          <w:hyperlink w:anchor="_Toc5118744" w:history="1">
            <w:r w:rsidR="009E5888" w:rsidRPr="00674934">
              <w:rPr>
                <w:rStyle w:val="Hyperlnk"/>
                <w:noProof/>
              </w:rPr>
              <w:t>2. Den transaktionsbaserade räntan</w:t>
            </w:r>
            <w:r w:rsidR="009E5888">
              <w:rPr>
                <w:noProof/>
                <w:webHidden/>
              </w:rPr>
              <w:tab/>
            </w:r>
            <w:r w:rsidR="009E5888">
              <w:rPr>
                <w:noProof/>
                <w:webHidden/>
              </w:rPr>
              <w:fldChar w:fldCharType="begin"/>
            </w:r>
            <w:r w:rsidR="009E5888">
              <w:rPr>
                <w:noProof/>
                <w:webHidden/>
              </w:rPr>
              <w:instrText xml:space="preserve"> PAGEREF _Toc5118744 \h </w:instrText>
            </w:r>
            <w:r w:rsidR="009E5888">
              <w:rPr>
                <w:noProof/>
                <w:webHidden/>
              </w:rPr>
            </w:r>
            <w:r w:rsidR="009E5888">
              <w:rPr>
                <w:noProof/>
                <w:webHidden/>
              </w:rPr>
              <w:fldChar w:fldCharType="separate"/>
            </w:r>
            <w:r w:rsidR="007E17A4">
              <w:rPr>
                <w:noProof/>
                <w:webHidden/>
              </w:rPr>
              <w:t>5</w:t>
            </w:r>
            <w:r w:rsidR="009E5888">
              <w:rPr>
                <w:noProof/>
                <w:webHidden/>
              </w:rPr>
              <w:fldChar w:fldCharType="end"/>
            </w:r>
          </w:hyperlink>
        </w:p>
        <w:p w14:paraId="4AAB1A33" w14:textId="454E4FE4" w:rsidR="009E5888" w:rsidRDefault="005B733B">
          <w:pPr>
            <w:pStyle w:val="Innehll2"/>
            <w:tabs>
              <w:tab w:val="right" w:leader="dot" w:pos="8268"/>
            </w:tabs>
            <w:rPr>
              <w:rFonts w:asciiTheme="minorHAnsi" w:eastAsiaTheme="minorEastAsia" w:hAnsiTheme="minorHAnsi" w:cstheme="minorBidi"/>
              <w:noProof/>
              <w:color w:val="auto"/>
              <w:szCs w:val="22"/>
            </w:rPr>
          </w:pPr>
          <w:hyperlink w:anchor="_Toc5118745" w:history="1">
            <w:r w:rsidR="009E5888" w:rsidRPr="00674934">
              <w:rPr>
                <w:rStyle w:val="Hyperlnk"/>
                <w:noProof/>
              </w:rPr>
              <w:t>2.1. Bakgrund</w:t>
            </w:r>
            <w:r w:rsidR="009E5888">
              <w:rPr>
                <w:noProof/>
                <w:webHidden/>
              </w:rPr>
              <w:tab/>
            </w:r>
            <w:r w:rsidR="009E5888">
              <w:rPr>
                <w:noProof/>
                <w:webHidden/>
              </w:rPr>
              <w:fldChar w:fldCharType="begin"/>
            </w:r>
            <w:r w:rsidR="009E5888">
              <w:rPr>
                <w:noProof/>
                <w:webHidden/>
              </w:rPr>
              <w:instrText xml:space="preserve"> PAGEREF _Toc5118745 \h </w:instrText>
            </w:r>
            <w:r w:rsidR="009E5888">
              <w:rPr>
                <w:noProof/>
                <w:webHidden/>
              </w:rPr>
            </w:r>
            <w:r w:rsidR="009E5888">
              <w:rPr>
                <w:noProof/>
                <w:webHidden/>
              </w:rPr>
              <w:fldChar w:fldCharType="separate"/>
            </w:r>
            <w:r w:rsidR="007E17A4">
              <w:rPr>
                <w:noProof/>
                <w:webHidden/>
              </w:rPr>
              <w:t>5</w:t>
            </w:r>
            <w:r w:rsidR="009E5888">
              <w:rPr>
                <w:noProof/>
                <w:webHidden/>
              </w:rPr>
              <w:fldChar w:fldCharType="end"/>
            </w:r>
          </w:hyperlink>
        </w:p>
        <w:p w14:paraId="2118F05E" w14:textId="676F5984" w:rsidR="009E5888" w:rsidRDefault="005B733B">
          <w:pPr>
            <w:pStyle w:val="Innehll2"/>
            <w:tabs>
              <w:tab w:val="right" w:leader="dot" w:pos="8268"/>
            </w:tabs>
            <w:rPr>
              <w:rFonts w:asciiTheme="minorHAnsi" w:eastAsiaTheme="minorEastAsia" w:hAnsiTheme="minorHAnsi" w:cstheme="minorBidi"/>
              <w:noProof/>
              <w:color w:val="auto"/>
              <w:szCs w:val="22"/>
            </w:rPr>
          </w:pPr>
          <w:hyperlink w:anchor="_Toc5118746" w:history="1">
            <w:r w:rsidR="009E5888" w:rsidRPr="00674934">
              <w:rPr>
                <w:rStyle w:val="Hyperlnk"/>
                <w:noProof/>
              </w:rPr>
              <w:t>2.2. Beskrivning av historiska transaktionsdata</w:t>
            </w:r>
            <w:r w:rsidR="009E5888">
              <w:rPr>
                <w:noProof/>
                <w:webHidden/>
              </w:rPr>
              <w:tab/>
            </w:r>
            <w:r w:rsidR="009E5888">
              <w:rPr>
                <w:noProof/>
                <w:webHidden/>
              </w:rPr>
              <w:fldChar w:fldCharType="begin"/>
            </w:r>
            <w:r w:rsidR="009E5888">
              <w:rPr>
                <w:noProof/>
                <w:webHidden/>
              </w:rPr>
              <w:instrText xml:space="preserve"> PAGEREF _Toc5118746 \h </w:instrText>
            </w:r>
            <w:r w:rsidR="009E5888">
              <w:rPr>
                <w:noProof/>
                <w:webHidden/>
              </w:rPr>
            </w:r>
            <w:r w:rsidR="009E5888">
              <w:rPr>
                <w:noProof/>
                <w:webHidden/>
              </w:rPr>
              <w:fldChar w:fldCharType="separate"/>
            </w:r>
            <w:r w:rsidR="007E17A4">
              <w:rPr>
                <w:noProof/>
                <w:webHidden/>
              </w:rPr>
              <w:t>6</w:t>
            </w:r>
            <w:r w:rsidR="009E5888">
              <w:rPr>
                <w:noProof/>
                <w:webHidden/>
              </w:rPr>
              <w:fldChar w:fldCharType="end"/>
            </w:r>
          </w:hyperlink>
        </w:p>
        <w:p w14:paraId="54CA17D2" w14:textId="2CA9061B" w:rsidR="009E5888" w:rsidRDefault="005B733B">
          <w:pPr>
            <w:pStyle w:val="Innehll2"/>
            <w:tabs>
              <w:tab w:val="right" w:leader="dot" w:pos="8268"/>
            </w:tabs>
            <w:rPr>
              <w:rFonts w:asciiTheme="minorHAnsi" w:eastAsiaTheme="minorEastAsia" w:hAnsiTheme="minorHAnsi" w:cstheme="minorBidi"/>
              <w:noProof/>
              <w:color w:val="auto"/>
              <w:szCs w:val="22"/>
            </w:rPr>
          </w:pPr>
          <w:hyperlink w:anchor="_Toc5118747" w:history="1">
            <w:r w:rsidR="009E5888" w:rsidRPr="00674934">
              <w:rPr>
                <w:rStyle w:val="Hyperlnk"/>
                <w:noProof/>
              </w:rPr>
              <w:t>2.3. Urvalsprocessen</w:t>
            </w:r>
            <w:r w:rsidR="009E5888">
              <w:rPr>
                <w:noProof/>
                <w:webHidden/>
              </w:rPr>
              <w:tab/>
            </w:r>
            <w:r w:rsidR="009E5888">
              <w:rPr>
                <w:noProof/>
                <w:webHidden/>
              </w:rPr>
              <w:fldChar w:fldCharType="begin"/>
            </w:r>
            <w:r w:rsidR="009E5888">
              <w:rPr>
                <w:noProof/>
                <w:webHidden/>
              </w:rPr>
              <w:instrText xml:space="preserve"> PAGEREF _Toc5118747 \h </w:instrText>
            </w:r>
            <w:r w:rsidR="009E5888">
              <w:rPr>
                <w:noProof/>
                <w:webHidden/>
              </w:rPr>
            </w:r>
            <w:r w:rsidR="009E5888">
              <w:rPr>
                <w:noProof/>
                <w:webHidden/>
              </w:rPr>
              <w:fldChar w:fldCharType="separate"/>
            </w:r>
            <w:r w:rsidR="007E17A4">
              <w:rPr>
                <w:noProof/>
                <w:webHidden/>
              </w:rPr>
              <w:t>8</w:t>
            </w:r>
            <w:r w:rsidR="009E5888">
              <w:rPr>
                <w:noProof/>
                <w:webHidden/>
              </w:rPr>
              <w:fldChar w:fldCharType="end"/>
            </w:r>
          </w:hyperlink>
        </w:p>
        <w:p w14:paraId="6800ACAD" w14:textId="1086734D" w:rsidR="009E5888" w:rsidRDefault="005B733B">
          <w:pPr>
            <w:pStyle w:val="Innehll2"/>
            <w:tabs>
              <w:tab w:val="right" w:leader="dot" w:pos="8268"/>
            </w:tabs>
            <w:rPr>
              <w:rFonts w:asciiTheme="minorHAnsi" w:eastAsiaTheme="minorEastAsia" w:hAnsiTheme="minorHAnsi" w:cstheme="minorBidi"/>
              <w:noProof/>
              <w:color w:val="auto"/>
              <w:szCs w:val="22"/>
            </w:rPr>
          </w:pPr>
          <w:hyperlink w:anchor="_Toc5118748" w:history="1">
            <w:r w:rsidR="009E5888" w:rsidRPr="00674934">
              <w:rPr>
                <w:rStyle w:val="Hyperlnk"/>
                <w:noProof/>
              </w:rPr>
              <w:t>2.4. Förslag till lämpliga referensräntor</w:t>
            </w:r>
            <w:r w:rsidR="009E5888">
              <w:rPr>
                <w:noProof/>
                <w:webHidden/>
              </w:rPr>
              <w:tab/>
            </w:r>
            <w:r w:rsidR="009E5888">
              <w:rPr>
                <w:noProof/>
                <w:webHidden/>
              </w:rPr>
              <w:fldChar w:fldCharType="begin"/>
            </w:r>
            <w:r w:rsidR="009E5888">
              <w:rPr>
                <w:noProof/>
                <w:webHidden/>
              </w:rPr>
              <w:instrText xml:space="preserve"> PAGEREF _Toc5118748 \h </w:instrText>
            </w:r>
            <w:r w:rsidR="009E5888">
              <w:rPr>
                <w:noProof/>
                <w:webHidden/>
              </w:rPr>
            </w:r>
            <w:r w:rsidR="009E5888">
              <w:rPr>
                <w:noProof/>
                <w:webHidden/>
              </w:rPr>
              <w:fldChar w:fldCharType="separate"/>
            </w:r>
            <w:r w:rsidR="007E17A4">
              <w:rPr>
                <w:noProof/>
                <w:webHidden/>
              </w:rPr>
              <w:t>10</w:t>
            </w:r>
            <w:r w:rsidR="009E5888">
              <w:rPr>
                <w:noProof/>
                <w:webHidden/>
              </w:rPr>
              <w:fldChar w:fldCharType="end"/>
            </w:r>
          </w:hyperlink>
        </w:p>
        <w:p w14:paraId="7CED5D6F" w14:textId="59BBFC98" w:rsidR="009E5888" w:rsidRDefault="005B733B">
          <w:pPr>
            <w:pStyle w:val="Innehll1"/>
            <w:tabs>
              <w:tab w:val="right" w:leader="dot" w:pos="8268"/>
            </w:tabs>
            <w:rPr>
              <w:rFonts w:asciiTheme="minorHAnsi" w:eastAsiaTheme="minorEastAsia" w:hAnsiTheme="minorHAnsi" w:cstheme="minorBidi"/>
              <w:b w:val="0"/>
              <w:noProof/>
              <w:color w:val="auto"/>
              <w:szCs w:val="22"/>
            </w:rPr>
          </w:pPr>
          <w:hyperlink w:anchor="_Toc5118749" w:history="1">
            <w:r w:rsidR="009E5888" w:rsidRPr="00674934">
              <w:rPr>
                <w:rStyle w:val="Hyperlnk"/>
                <w:noProof/>
              </w:rPr>
              <w:t>3. Det fortsatta arbetet</w:t>
            </w:r>
            <w:r w:rsidR="009E5888">
              <w:rPr>
                <w:noProof/>
                <w:webHidden/>
              </w:rPr>
              <w:tab/>
            </w:r>
            <w:r w:rsidR="009E5888">
              <w:rPr>
                <w:noProof/>
                <w:webHidden/>
              </w:rPr>
              <w:fldChar w:fldCharType="begin"/>
            </w:r>
            <w:r w:rsidR="009E5888">
              <w:rPr>
                <w:noProof/>
                <w:webHidden/>
              </w:rPr>
              <w:instrText xml:space="preserve"> PAGEREF _Toc5118749 \h </w:instrText>
            </w:r>
            <w:r w:rsidR="009E5888">
              <w:rPr>
                <w:noProof/>
                <w:webHidden/>
              </w:rPr>
            </w:r>
            <w:r w:rsidR="009E5888">
              <w:rPr>
                <w:noProof/>
                <w:webHidden/>
              </w:rPr>
              <w:fldChar w:fldCharType="separate"/>
            </w:r>
            <w:r w:rsidR="007E17A4">
              <w:rPr>
                <w:noProof/>
                <w:webHidden/>
              </w:rPr>
              <w:t>13</w:t>
            </w:r>
            <w:r w:rsidR="009E5888">
              <w:rPr>
                <w:noProof/>
                <w:webHidden/>
              </w:rPr>
              <w:fldChar w:fldCharType="end"/>
            </w:r>
          </w:hyperlink>
        </w:p>
        <w:p w14:paraId="39265D71" w14:textId="70294FB8" w:rsidR="009E5888" w:rsidRDefault="005B733B">
          <w:pPr>
            <w:pStyle w:val="Innehll1"/>
            <w:tabs>
              <w:tab w:val="right" w:leader="dot" w:pos="8268"/>
            </w:tabs>
            <w:rPr>
              <w:rFonts w:asciiTheme="minorHAnsi" w:eastAsiaTheme="minorEastAsia" w:hAnsiTheme="minorHAnsi" w:cstheme="minorBidi"/>
              <w:b w:val="0"/>
              <w:noProof/>
              <w:color w:val="auto"/>
              <w:szCs w:val="22"/>
            </w:rPr>
          </w:pPr>
          <w:hyperlink w:anchor="_Toc5118750" w:history="1">
            <w:r w:rsidR="009E5888" w:rsidRPr="00674934">
              <w:rPr>
                <w:rStyle w:val="Hyperlnk"/>
                <w:noProof/>
              </w:rPr>
              <w:t>4. Sammanfattning av frågor</w:t>
            </w:r>
            <w:r w:rsidR="009E5888">
              <w:rPr>
                <w:noProof/>
                <w:webHidden/>
              </w:rPr>
              <w:tab/>
            </w:r>
            <w:r w:rsidR="009E5888">
              <w:rPr>
                <w:noProof/>
                <w:webHidden/>
              </w:rPr>
              <w:fldChar w:fldCharType="begin"/>
            </w:r>
            <w:r w:rsidR="009E5888">
              <w:rPr>
                <w:noProof/>
                <w:webHidden/>
              </w:rPr>
              <w:instrText xml:space="preserve"> PAGEREF _Toc5118750 \h </w:instrText>
            </w:r>
            <w:r w:rsidR="009E5888">
              <w:rPr>
                <w:noProof/>
                <w:webHidden/>
              </w:rPr>
            </w:r>
            <w:r w:rsidR="009E5888">
              <w:rPr>
                <w:noProof/>
                <w:webHidden/>
              </w:rPr>
              <w:fldChar w:fldCharType="separate"/>
            </w:r>
            <w:r w:rsidR="007E17A4">
              <w:rPr>
                <w:noProof/>
                <w:webHidden/>
              </w:rPr>
              <w:t>13</w:t>
            </w:r>
            <w:r w:rsidR="009E5888">
              <w:rPr>
                <w:noProof/>
                <w:webHidden/>
              </w:rPr>
              <w:fldChar w:fldCharType="end"/>
            </w:r>
          </w:hyperlink>
        </w:p>
        <w:p w14:paraId="22F007C0" w14:textId="08BC89AE" w:rsidR="001711AD" w:rsidRDefault="001711AD">
          <w:r>
            <w:rPr>
              <w:b/>
              <w:bCs/>
            </w:rPr>
            <w:fldChar w:fldCharType="end"/>
          </w:r>
        </w:p>
      </w:sdtContent>
    </w:sdt>
    <w:p w14:paraId="4A8B9E82" w14:textId="77777777" w:rsidR="00A5756B" w:rsidRDefault="00A5756B" w:rsidP="00A5756B"/>
    <w:p w14:paraId="694CB226" w14:textId="55975031" w:rsidR="00151A2D" w:rsidRDefault="00151A2D" w:rsidP="00151A2D">
      <w:pPr>
        <w:pStyle w:val="Rubrik1"/>
      </w:pPr>
      <w:bookmarkStart w:id="2" w:name="_Toc5118741"/>
      <w:r>
        <w:t>1. Introduktion</w:t>
      </w:r>
      <w:bookmarkEnd w:id="2"/>
    </w:p>
    <w:p w14:paraId="367DD2F0" w14:textId="1C43D4AD" w:rsidR="00970B6D" w:rsidRDefault="00E807C4" w:rsidP="0048369E">
      <w:r>
        <w:t xml:space="preserve">Bankföreningen har genom Arbetsgruppen för Alternativa </w:t>
      </w:r>
      <w:r w:rsidR="000E30F7">
        <w:t>referens</w:t>
      </w:r>
      <w:r>
        <w:t xml:space="preserve">räntor analyserat möjligheten att ta fram ett komplement eller alternativ till en referensränta. </w:t>
      </w:r>
      <w:r w:rsidR="0048369E">
        <w:t xml:space="preserve">I denna </w:t>
      </w:r>
      <w:r>
        <w:t xml:space="preserve">första </w:t>
      </w:r>
      <w:r w:rsidR="0048369E">
        <w:t xml:space="preserve">konsultation lämnas förslag på hur en alternativ referensränta </w:t>
      </w:r>
      <w:r w:rsidR="000E30F7">
        <w:t xml:space="preserve">(RFR) </w:t>
      </w:r>
      <w:r w:rsidR="0048369E">
        <w:t xml:space="preserve">skulle kunna definieras. </w:t>
      </w:r>
      <w:r w:rsidR="00F11732">
        <w:t>Svar på de ställda frågorna och eventuella andra synpunkter sänds till Bankföreningen på adress</w:t>
      </w:r>
      <w:r w:rsidR="00F11732" w:rsidRPr="000F42C1">
        <w:t xml:space="preserve">: </w:t>
      </w:r>
      <w:hyperlink r:id="rId8" w:history="1">
        <w:r w:rsidR="000F42C1" w:rsidRPr="000F42C1">
          <w:rPr>
            <w:rStyle w:val="Hyperlnk"/>
          </w:rPr>
          <w:t>info@swedishbankers.se</w:t>
        </w:r>
      </w:hyperlink>
      <w:r w:rsidR="00F11732">
        <w:t xml:space="preserve"> före den </w:t>
      </w:r>
      <w:r w:rsidR="0023696B" w:rsidRPr="0023696B">
        <w:t>30</w:t>
      </w:r>
      <w:r w:rsidR="0023696B">
        <w:t xml:space="preserve"> </w:t>
      </w:r>
      <w:r w:rsidR="00F11732">
        <w:t xml:space="preserve">april. </w:t>
      </w:r>
      <w:r w:rsidR="00225FAC">
        <w:t xml:space="preserve">Frågor </w:t>
      </w:r>
      <w:r>
        <w:t xml:space="preserve">kring </w:t>
      </w:r>
      <w:r w:rsidR="00225FAC">
        <w:t xml:space="preserve">konsultationen kan ställas till </w:t>
      </w:r>
      <w:hyperlink r:id="rId9" w:history="1">
        <w:r w:rsidR="00225FAC" w:rsidRPr="00467233">
          <w:rPr>
            <w:rStyle w:val="Hyperlnk"/>
          </w:rPr>
          <w:t>jonny.sylven@swedishbankers.se</w:t>
        </w:r>
      </w:hyperlink>
      <w:r w:rsidR="009D73FB">
        <w:t xml:space="preserve">. </w:t>
      </w:r>
      <w:r w:rsidR="00225FAC">
        <w:t xml:space="preserve"> </w:t>
      </w:r>
    </w:p>
    <w:p w14:paraId="4D2A85AA" w14:textId="650C1CFB" w:rsidR="00970B6D" w:rsidRDefault="00970B6D" w:rsidP="00970B6D">
      <w:pPr>
        <w:pStyle w:val="Rubrik2"/>
      </w:pPr>
      <w:bookmarkStart w:id="3" w:name="_Toc5118742"/>
      <w:r>
        <w:t>1.1. Sammanfattning av konsultationen</w:t>
      </w:r>
      <w:bookmarkEnd w:id="3"/>
      <w:r>
        <w:t xml:space="preserve"> </w:t>
      </w:r>
    </w:p>
    <w:p w14:paraId="1DA5DF2E" w14:textId="77777777" w:rsidR="00F6602D" w:rsidRDefault="00970B6D" w:rsidP="00970B6D">
      <w:r>
        <w:t xml:space="preserve">Arbetsgruppen för alternativa referensräntor har undersökt möjligheten att för SEK-marknaden ta fram en transaktionsbaserad referensränta </w:t>
      </w:r>
      <w:r w:rsidR="00E807C4">
        <w:t>med</w:t>
      </w:r>
      <w:r>
        <w:t xml:space="preserve"> liknande kvaliteter som andra nästan riskfri</w:t>
      </w:r>
      <w:r w:rsidR="0002789F">
        <w:t>a</w:t>
      </w:r>
      <w:r>
        <w:t xml:space="preserve"> räntor </w:t>
      </w:r>
      <w:r w:rsidR="001A7481">
        <w:t xml:space="preserve">vilka nu </w:t>
      </w:r>
      <w:r>
        <w:t>utvecklas i</w:t>
      </w:r>
      <w:r w:rsidR="001A7481">
        <w:t>nom ett flertal</w:t>
      </w:r>
      <w:r w:rsidR="00623221">
        <w:t xml:space="preserve"> </w:t>
      </w:r>
      <w:r>
        <w:t>valutaområden. Någon sådan ränta finns inte i Sverige idag så Arbetsgruppen måste se över vilka alternativ som finns.</w:t>
      </w:r>
      <w:r w:rsidR="00623221">
        <w:t xml:space="preserve"> </w:t>
      </w:r>
      <w:r w:rsidR="0002789F">
        <w:t xml:space="preserve">Arbetsgruppen har i en första analys samlat in en mängd </w:t>
      </w:r>
      <w:r>
        <w:t xml:space="preserve">transaktionsdata. Utifrån denna information och </w:t>
      </w:r>
      <w:r w:rsidR="0002789F">
        <w:t xml:space="preserve">ett antal </w:t>
      </w:r>
      <w:r>
        <w:t xml:space="preserve">urvalskriterier har två </w:t>
      </w:r>
      <w:r w:rsidR="000E30F7">
        <w:t>möjliga alternativa referens</w:t>
      </w:r>
      <w:r>
        <w:t xml:space="preserve">räntor </w:t>
      </w:r>
      <w:r w:rsidR="006056E9">
        <w:t>definierats</w:t>
      </w:r>
      <w:r>
        <w:t xml:space="preserve">. Båda </w:t>
      </w:r>
      <w:r w:rsidR="0002789F">
        <w:t xml:space="preserve">dessa </w:t>
      </w:r>
      <w:r>
        <w:t xml:space="preserve">avser osäkrade O/N-transaktioner med andra banker, övriga finansiella företag samt Riksgälden som </w:t>
      </w:r>
      <w:r>
        <w:lastRenderedPageBreak/>
        <w:t xml:space="preserve">motparter. </w:t>
      </w:r>
      <w:r w:rsidR="0002789F">
        <w:t>En av de identifierade</w:t>
      </w:r>
      <w:r>
        <w:t xml:space="preserve"> räntor</w:t>
      </w:r>
      <w:r w:rsidR="0002789F">
        <w:t>na</w:t>
      </w:r>
      <w:r>
        <w:t xml:space="preserve"> avser såväl in- som utlåningstransaktioner (urval </w:t>
      </w:r>
      <w:r w:rsidR="004145A9">
        <w:t>A</w:t>
      </w:r>
      <w:r>
        <w:t xml:space="preserve">) medan den andra </w:t>
      </w:r>
      <w:r w:rsidR="0002789F">
        <w:t>räntan endast</w:t>
      </w:r>
      <w:r>
        <w:t xml:space="preserve"> avser inlåningstransaktioner (urval </w:t>
      </w:r>
      <w:r w:rsidR="004145A9">
        <w:t>B</w:t>
      </w:r>
    </w:p>
    <w:p w14:paraId="7356A172" w14:textId="64D6C08D" w:rsidR="00970B6D" w:rsidRDefault="00970B6D" w:rsidP="00970B6D">
      <w:r>
        <w:t xml:space="preserve">). Båda dessa urval har betydande volymer som omsätts varje dag i form av transaktioner </w:t>
      </w:r>
      <w:r w:rsidR="0027795F">
        <w:t>där de flesta</w:t>
      </w:r>
      <w:r>
        <w:t xml:space="preserve"> banker</w:t>
      </w:r>
      <w:r w:rsidR="0027795F">
        <w:t xml:space="preserve"> deltar</w:t>
      </w:r>
      <w:r>
        <w:t xml:space="preserve">. </w:t>
      </w:r>
      <w:r w:rsidR="0002789F">
        <w:t>I undersökningsperioden, vilken omfatta</w:t>
      </w:r>
      <w:r w:rsidR="00BB297F">
        <w:t>r</w:t>
      </w:r>
      <w:r w:rsidR="0002789F">
        <w:t xml:space="preserve"> </w:t>
      </w:r>
      <w:r>
        <w:t>774 dagar</w:t>
      </w:r>
      <w:r w:rsidR="0002789F">
        <w:t xml:space="preserve">, noteras </w:t>
      </w:r>
      <w:r>
        <w:t xml:space="preserve">minst 5 transaktioner per dag. Arbetsgruppen </w:t>
      </w:r>
      <w:r w:rsidR="0002789F">
        <w:t>anser</w:t>
      </w:r>
      <w:r>
        <w:t xml:space="preserve"> att dessa räntor skulle kunna fungera som ny alternativ referensränta. </w:t>
      </w:r>
    </w:p>
    <w:p w14:paraId="130BD213" w14:textId="77777777" w:rsidR="00970B6D" w:rsidRDefault="00970B6D" w:rsidP="00970B6D"/>
    <w:p w14:paraId="4786E91C" w14:textId="2F694D4C" w:rsidR="00970B6D" w:rsidRDefault="0002789F" w:rsidP="00970B6D">
      <w:r>
        <w:t>Sammanfattningsvis lämnar a</w:t>
      </w:r>
      <w:r w:rsidR="00970B6D">
        <w:t xml:space="preserve">rbetsgruppen </w:t>
      </w:r>
      <w:r>
        <w:t>följande förslag till</w:t>
      </w:r>
      <w:r w:rsidR="00970B6D">
        <w:t xml:space="preserve"> alternativ referensränta: </w:t>
      </w:r>
    </w:p>
    <w:p w14:paraId="1DA9B895" w14:textId="78967C60" w:rsidR="00970B6D" w:rsidRDefault="00970B6D" w:rsidP="00970B6D">
      <w:pPr>
        <w:pStyle w:val="Liststycke"/>
        <w:numPr>
          <w:ilvl w:val="0"/>
          <w:numId w:val="34"/>
        </w:numPr>
      </w:pPr>
      <w:r>
        <w:t>Transaktionsbaserad O/N-ränta utan säkerhet och med banker, övriga finansinstitut eller Riksgälden som motpart</w:t>
      </w:r>
      <w:r w:rsidR="005B2363">
        <w:t>, med</w:t>
      </w:r>
      <w:r>
        <w:t xml:space="preserve"> inlåning eller utlåning hos den rapporterande banken. </w:t>
      </w:r>
    </w:p>
    <w:p w14:paraId="131AE4B4" w14:textId="735BCFA8" w:rsidR="00970B6D" w:rsidRDefault="00970B6D" w:rsidP="00970B6D">
      <w:pPr>
        <w:pStyle w:val="Liststycke"/>
        <w:numPr>
          <w:ilvl w:val="0"/>
          <w:numId w:val="34"/>
        </w:numPr>
      </w:pPr>
      <w:r>
        <w:t>Transaktionsbaserad O/N-ränta utan säkerhet och med banker, övriga finansinstitut eller Riksgälden som motpart</w:t>
      </w:r>
      <w:r w:rsidR="005B2363">
        <w:t xml:space="preserve">, med </w:t>
      </w:r>
      <w:r>
        <w:t>inlåning hos den rapporterande banken.</w:t>
      </w:r>
    </w:p>
    <w:p w14:paraId="535CAD23" w14:textId="77777777" w:rsidR="00970B6D" w:rsidRPr="00B714BD" w:rsidRDefault="00970B6D" w:rsidP="00970B6D">
      <w:pPr>
        <w:rPr>
          <w:color w:val="auto"/>
        </w:rPr>
      </w:pPr>
    </w:p>
    <w:p w14:paraId="256AFF6B" w14:textId="7AB39623" w:rsidR="00970B6D" w:rsidRDefault="005B2363" w:rsidP="00970B6D">
      <w:pPr>
        <w:rPr>
          <w:color w:val="auto"/>
        </w:rPr>
      </w:pPr>
      <w:r w:rsidRPr="00B714BD">
        <w:rPr>
          <w:color w:val="auto"/>
        </w:rPr>
        <w:t>För- och nackdelar med föreslagna alternativa referensräntor kan sammanfattas enligt följande</w:t>
      </w:r>
      <w:r w:rsidR="00C5131B">
        <w:rPr>
          <w:color w:val="auto"/>
        </w:rPr>
        <w:t>:</w:t>
      </w:r>
    </w:p>
    <w:p w14:paraId="0239D3AE" w14:textId="77777777" w:rsidR="00C5131B" w:rsidRPr="00B714BD" w:rsidRDefault="00C5131B" w:rsidP="00970B6D">
      <w:pPr>
        <w:rPr>
          <w:color w:val="auto"/>
        </w:rPr>
      </w:pPr>
    </w:p>
    <w:tbl>
      <w:tblPr>
        <w:tblStyle w:val="Tabellrutnt"/>
        <w:tblW w:w="0" w:type="auto"/>
        <w:tblLook w:val="04A0" w:firstRow="1" w:lastRow="0" w:firstColumn="1" w:lastColumn="0" w:noHBand="0" w:noVBand="1"/>
      </w:tblPr>
      <w:tblGrid>
        <w:gridCol w:w="2756"/>
        <w:gridCol w:w="2756"/>
        <w:gridCol w:w="2756"/>
      </w:tblGrid>
      <w:tr w:rsidR="00970B6D" w:rsidRPr="00B714BD" w14:paraId="46CF48E4" w14:textId="77777777" w:rsidTr="00DE05D5">
        <w:tc>
          <w:tcPr>
            <w:tcW w:w="2756" w:type="dxa"/>
            <w:shd w:val="clear" w:color="auto" w:fill="F68B1F"/>
          </w:tcPr>
          <w:p w14:paraId="14D56E56" w14:textId="77777777" w:rsidR="00970B6D" w:rsidRPr="00B714BD" w:rsidRDefault="00970B6D" w:rsidP="00DE05D5">
            <w:pPr>
              <w:rPr>
                <w:b/>
                <w:color w:val="015BAC"/>
              </w:rPr>
            </w:pPr>
            <w:r w:rsidRPr="00B714BD">
              <w:rPr>
                <w:b/>
                <w:color w:val="015BAC"/>
              </w:rPr>
              <w:t>Föreslagen ränta</w:t>
            </w:r>
          </w:p>
        </w:tc>
        <w:tc>
          <w:tcPr>
            <w:tcW w:w="2756" w:type="dxa"/>
            <w:shd w:val="clear" w:color="auto" w:fill="F68B1F"/>
          </w:tcPr>
          <w:p w14:paraId="5AF69123" w14:textId="77777777" w:rsidR="00970B6D" w:rsidRPr="00B714BD" w:rsidRDefault="00970B6D" w:rsidP="00DE05D5">
            <w:pPr>
              <w:rPr>
                <w:b/>
                <w:color w:val="015BAC"/>
              </w:rPr>
            </w:pPr>
            <w:r w:rsidRPr="00B714BD">
              <w:rPr>
                <w:b/>
                <w:color w:val="015BAC"/>
              </w:rPr>
              <w:t>Fördel</w:t>
            </w:r>
          </w:p>
        </w:tc>
        <w:tc>
          <w:tcPr>
            <w:tcW w:w="2756" w:type="dxa"/>
            <w:shd w:val="clear" w:color="auto" w:fill="F68B1F"/>
          </w:tcPr>
          <w:p w14:paraId="402AD8E3" w14:textId="77777777" w:rsidR="00970B6D" w:rsidRPr="00B714BD" w:rsidRDefault="00970B6D" w:rsidP="00DE05D5">
            <w:pPr>
              <w:rPr>
                <w:b/>
                <w:color w:val="015BAC"/>
              </w:rPr>
            </w:pPr>
            <w:r w:rsidRPr="00B714BD">
              <w:rPr>
                <w:b/>
                <w:color w:val="015BAC"/>
              </w:rPr>
              <w:t>Nackdel</w:t>
            </w:r>
          </w:p>
        </w:tc>
      </w:tr>
      <w:tr w:rsidR="00970B6D" w:rsidRPr="00B714BD" w14:paraId="799C8F53" w14:textId="77777777" w:rsidTr="00DE05D5">
        <w:tc>
          <w:tcPr>
            <w:tcW w:w="2756" w:type="dxa"/>
          </w:tcPr>
          <w:p w14:paraId="192C3729" w14:textId="12CFE65A" w:rsidR="00970B6D" w:rsidRPr="00B714BD" w:rsidRDefault="00970B6D" w:rsidP="00DE05D5">
            <w:pPr>
              <w:rPr>
                <w:color w:val="auto"/>
              </w:rPr>
            </w:pPr>
            <w:r w:rsidRPr="00B714BD">
              <w:rPr>
                <w:color w:val="auto"/>
              </w:rPr>
              <w:t>a. Trans. In</w:t>
            </w:r>
            <w:r w:rsidR="0027795F" w:rsidRPr="00B714BD">
              <w:rPr>
                <w:color w:val="auto"/>
              </w:rPr>
              <w:t>-</w:t>
            </w:r>
            <w:r w:rsidRPr="00B714BD">
              <w:rPr>
                <w:color w:val="auto"/>
              </w:rPr>
              <w:t xml:space="preserve"> och ut</w:t>
            </w:r>
            <w:r w:rsidR="0027795F" w:rsidRPr="00B714BD">
              <w:rPr>
                <w:color w:val="auto"/>
              </w:rPr>
              <w:t>låning</w:t>
            </w:r>
          </w:p>
        </w:tc>
        <w:tc>
          <w:tcPr>
            <w:tcW w:w="2756" w:type="dxa"/>
          </w:tcPr>
          <w:p w14:paraId="504CDBB0" w14:textId="77777777" w:rsidR="00970B6D" w:rsidRPr="00B714BD" w:rsidRDefault="00970B6D" w:rsidP="00DE05D5">
            <w:pPr>
              <w:rPr>
                <w:color w:val="auto"/>
              </w:rPr>
            </w:pPr>
            <w:r w:rsidRPr="00B714BD">
              <w:rPr>
                <w:color w:val="auto"/>
              </w:rPr>
              <w:t xml:space="preserve">Relativt stor underliggande volym, kan ses som en </w:t>
            </w:r>
            <w:proofErr w:type="spellStart"/>
            <w:r w:rsidRPr="00B714BD">
              <w:rPr>
                <w:color w:val="auto"/>
              </w:rPr>
              <w:t>midprice</w:t>
            </w:r>
            <w:proofErr w:type="spellEnd"/>
            <w:r w:rsidRPr="00B714BD">
              <w:rPr>
                <w:color w:val="auto"/>
              </w:rPr>
              <w:t xml:space="preserve">-ränta,  </w:t>
            </w:r>
          </w:p>
        </w:tc>
        <w:tc>
          <w:tcPr>
            <w:tcW w:w="2756" w:type="dxa"/>
          </w:tcPr>
          <w:p w14:paraId="2F94C6D4" w14:textId="77777777" w:rsidR="00970B6D" w:rsidRPr="00B714BD" w:rsidRDefault="00970B6D" w:rsidP="00DE05D5">
            <w:pPr>
              <w:rPr>
                <w:color w:val="auto"/>
              </w:rPr>
            </w:pPr>
            <w:r w:rsidRPr="00B714BD">
              <w:rPr>
                <w:color w:val="auto"/>
              </w:rPr>
              <w:t>I situation med stor spread mellan in- och utlåning kan volatiliteten öka</w:t>
            </w:r>
          </w:p>
        </w:tc>
      </w:tr>
      <w:tr w:rsidR="00970B6D" w:rsidRPr="00B714BD" w14:paraId="3FB197B5" w14:textId="77777777" w:rsidTr="00DE05D5">
        <w:tc>
          <w:tcPr>
            <w:tcW w:w="2756" w:type="dxa"/>
          </w:tcPr>
          <w:p w14:paraId="06335AF7" w14:textId="77777777" w:rsidR="00970B6D" w:rsidRPr="00B714BD" w:rsidRDefault="00970B6D" w:rsidP="00DE05D5">
            <w:pPr>
              <w:rPr>
                <w:color w:val="auto"/>
              </w:rPr>
            </w:pPr>
            <w:r w:rsidRPr="00B714BD">
              <w:rPr>
                <w:color w:val="auto"/>
              </w:rPr>
              <w:t>b. Trans. Inlåning</w:t>
            </w:r>
          </w:p>
        </w:tc>
        <w:tc>
          <w:tcPr>
            <w:tcW w:w="2756" w:type="dxa"/>
          </w:tcPr>
          <w:p w14:paraId="7B357A49" w14:textId="77777777" w:rsidR="00970B6D" w:rsidRPr="00B714BD" w:rsidRDefault="00970B6D" w:rsidP="00DE05D5">
            <w:pPr>
              <w:rPr>
                <w:color w:val="auto"/>
              </w:rPr>
            </w:pPr>
            <w:r w:rsidRPr="00B714BD">
              <w:rPr>
                <w:color w:val="auto"/>
              </w:rPr>
              <w:t>Samma upplägg som andra RFR</w:t>
            </w:r>
          </w:p>
        </w:tc>
        <w:tc>
          <w:tcPr>
            <w:tcW w:w="2756" w:type="dxa"/>
          </w:tcPr>
          <w:p w14:paraId="4DA14A70" w14:textId="77777777" w:rsidR="00970B6D" w:rsidRPr="00B714BD" w:rsidRDefault="00970B6D" w:rsidP="00DE05D5">
            <w:pPr>
              <w:rPr>
                <w:color w:val="auto"/>
              </w:rPr>
            </w:pPr>
            <w:r w:rsidRPr="00B714BD">
              <w:rPr>
                <w:color w:val="auto"/>
              </w:rPr>
              <w:t>Mer begränsad bakomliggande volym</w:t>
            </w:r>
          </w:p>
        </w:tc>
      </w:tr>
    </w:tbl>
    <w:p w14:paraId="2919BE6E" w14:textId="1308B8FC" w:rsidR="00FF283F" w:rsidRPr="00B714BD" w:rsidRDefault="00151A2D" w:rsidP="003A7356">
      <w:pPr>
        <w:pStyle w:val="Rubrik2"/>
        <w:rPr>
          <w:color w:val="auto"/>
        </w:rPr>
      </w:pPr>
      <w:bookmarkStart w:id="4" w:name="_Toc5118743"/>
      <w:r w:rsidRPr="00B714BD">
        <w:rPr>
          <w:color w:val="auto"/>
        </w:rPr>
        <w:t>1.</w:t>
      </w:r>
      <w:r w:rsidR="00970B6D" w:rsidRPr="00B714BD">
        <w:rPr>
          <w:color w:val="auto"/>
        </w:rPr>
        <w:t>2</w:t>
      </w:r>
      <w:r w:rsidRPr="00B714BD">
        <w:rPr>
          <w:color w:val="auto"/>
        </w:rPr>
        <w:t xml:space="preserve">. </w:t>
      </w:r>
      <w:r w:rsidR="00A5756B" w:rsidRPr="00B714BD">
        <w:rPr>
          <w:color w:val="auto"/>
        </w:rPr>
        <w:t>Arbetsgruppen för alternativa referensräntor</w:t>
      </w:r>
      <w:bookmarkEnd w:id="4"/>
    </w:p>
    <w:p w14:paraId="4FB5C210" w14:textId="0789CB2E" w:rsidR="003E622A" w:rsidRPr="00466452" w:rsidRDefault="00FF283F" w:rsidP="00A5756B">
      <w:pPr>
        <w:rPr>
          <w:color w:val="auto"/>
        </w:rPr>
      </w:pPr>
      <w:r w:rsidRPr="00466452">
        <w:rPr>
          <w:color w:val="auto"/>
        </w:rPr>
        <w:t>En interbankränta ska återspegla de räntor vilka banker gör affärer på</w:t>
      </w:r>
      <w:r w:rsidR="00A02D0F" w:rsidRPr="00466452">
        <w:rPr>
          <w:color w:val="auto"/>
        </w:rPr>
        <w:t>,</w:t>
      </w:r>
      <w:r w:rsidRPr="00466452">
        <w:rPr>
          <w:color w:val="auto"/>
        </w:rPr>
        <w:t xml:space="preserve"> utan säkerheter och med andra banker som motparter. Interbanktransaktionerna har generellt avtagit eller </w:t>
      </w:r>
      <w:r w:rsidR="00A02D0F" w:rsidRPr="00466452">
        <w:rPr>
          <w:color w:val="auto"/>
        </w:rPr>
        <w:t>till viss del</w:t>
      </w:r>
      <w:r w:rsidRPr="00466452">
        <w:rPr>
          <w:color w:val="auto"/>
        </w:rPr>
        <w:t xml:space="preserve"> helt försvunnit, delvis med anledning av</w:t>
      </w:r>
      <w:r w:rsidR="00A02D0F" w:rsidRPr="00466452">
        <w:rPr>
          <w:color w:val="auto"/>
        </w:rPr>
        <w:t xml:space="preserve"> </w:t>
      </w:r>
      <w:r w:rsidRPr="00466452">
        <w:rPr>
          <w:color w:val="auto"/>
        </w:rPr>
        <w:t xml:space="preserve">Lehman-krisen då förtroendet mellan banker minskade och det blev vanligare med säkerställda interbanktransaktioner. I och med den </w:t>
      </w:r>
      <w:r w:rsidR="00B714BD">
        <w:rPr>
          <w:color w:val="auto"/>
        </w:rPr>
        <w:t>fortfarande</w:t>
      </w:r>
      <w:r w:rsidRPr="00466452">
        <w:rPr>
          <w:color w:val="auto"/>
        </w:rPr>
        <w:t xml:space="preserve"> pågående</w:t>
      </w:r>
      <w:r w:rsidR="00B714BD">
        <w:rPr>
          <w:color w:val="auto"/>
        </w:rPr>
        <w:t xml:space="preserve"> expansiva</w:t>
      </w:r>
      <w:r w:rsidRPr="00466452">
        <w:rPr>
          <w:color w:val="auto"/>
        </w:rPr>
        <w:t xml:space="preserve"> penningpolitiken i de flesta valutaområden</w:t>
      </w:r>
      <w:r w:rsidR="00A02D0F" w:rsidRPr="00466452">
        <w:rPr>
          <w:color w:val="auto"/>
        </w:rPr>
        <w:t>,</w:t>
      </w:r>
      <w:r w:rsidRPr="00466452">
        <w:rPr>
          <w:color w:val="auto"/>
        </w:rPr>
        <w:t xml:space="preserve"> som översköljer marknaden med likviditet</w:t>
      </w:r>
      <w:r w:rsidR="00BB297F">
        <w:rPr>
          <w:color w:val="auto"/>
        </w:rPr>
        <w:t>,</w:t>
      </w:r>
      <w:r w:rsidRPr="00466452">
        <w:rPr>
          <w:color w:val="auto"/>
        </w:rPr>
        <w:t xml:space="preserve"> så har behovet av interbanktransaktioner minskat. Sammantaget har detta inneburit att grunden för interbankräntor har blivit mindre. </w:t>
      </w:r>
      <w:r w:rsidR="005B2363" w:rsidRPr="00466452">
        <w:rPr>
          <w:color w:val="auto"/>
        </w:rPr>
        <w:t xml:space="preserve"> </w:t>
      </w:r>
      <w:r w:rsidRPr="00466452">
        <w:rPr>
          <w:color w:val="auto"/>
        </w:rPr>
        <w:t xml:space="preserve">Frågan lyftes upp av </w:t>
      </w:r>
      <w:r w:rsidR="003E622A" w:rsidRPr="00466452">
        <w:rPr>
          <w:color w:val="auto"/>
        </w:rPr>
        <w:t xml:space="preserve">G20 </w:t>
      </w:r>
      <w:r w:rsidRPr="00466452">
        <w:rPr>
          <w:color w:val="auto"/>
        </w:rPr>
        <w:t>redan 2013 då</w:t>
      </w:r>
      <w:r w:rsidR="003E622A" w:rsidRPr="00466452">
        <w:rPr>
          <w:color w:val="auto"/>
        </w:rPr>
        <w:t xml:space="preserve"> </w:t>
      </w:r>
      <w:proofErr w:type="spellStart"/>
      <w:r w:rsidR="003E622A" w:rsidRPr="00466452">
        <w:rPr>
          <w:color w:val="auto"/>
        </w:rPr>
        <w:t>Financial</w:t>
      </w:r>
      <w:proofErr w:type="spellEnd"/>
      <w:r w:rsidR="003E622A" w:rsidRPr="00466452">
        <w:rPr>
          <w:color w:val="auto"/>
        </w:rPr>
        <w:t xml:space="preserve"> </w:t>
      </w:r>
      <w:proofErr w:type="spellStart"/>
      <w:r w:rsidR="003E622A" w:rsidRPr="00466452">
        <w:rPr>
          <w:color w:val="auto"/>
        </w:rPr>
        <w:t>Stability</w:t>
      </w:r>
      <w:proofErr w:type="spellEnd"/>
      <w:r w:rsidR="003E622A" w:rsidRPr="00466452">
        <w:rPr>
          <w:color w:val="auto"/>
        </w:rPr>
        <w:t xml:space="preserve"> Board (FSB) </w:t>
      </w:r>
      <w:r w:rsidRPr="00466452">
        <w:rPr>
          <w:color w:val="auto"/>
        </w:rPr>
        <w:t xml:space="preserve">ombads att </w:t>
      </w:r>
      <w:r w:rsidR="003E622A" w:rsidRPr="00466452">
        <w:rPr>
          <w:color w:val="auto"/>
        </w:rPr>
        <w:t xml:space="preserve">se över </w:t>
      </w:r>
      <w:r w:rsidRPr="00466452">
        <w:rPr>
          <w:color w:val="auto"/>
        </w:rPr>
        <w:t>problemet med interbankräntornas bristande transaktionsunderlag</w:t>
      </w:r>
      <w:r w:rsidR="003E622A" w:rsidRPr="00466452">
        <w:rPr>
          <w:color w:val="auto"/>
        </w:rPr>
        <w:t>. FSB återkom 2014</w:t>
      </w:r>
      <w:r w:rsidR="003E622A" w:rsidRPr="00466452">
        <w:rPr>
          <w:rStyle w:val="Fotnotsreferens"/>
          <w:color w:val="auto"/>
        </w:rPr>
        <w:footnoteReference w:id="1"/>
      </w:r>
      <w:r w:rsidR="003E622A" w:rsidRPr="00466452">
        <w:rPr>
          <w:color w:val="auto"/>
        </w:rPr>
        <w:t xml:space="preserve"> </w:t>
      </w:r>
      <w:r w:rsidRPr="00466452">
        <w:rPr>
          <w:color w:val="auto"/>
        </w:rPr>
        <w:t>med</w:t>
      </w:r>
      <w:r w:rsidR="003E622A" w:rsidRPr="00466452">
        <w:rPr>
          <w:color w:val="auto"/>
        </w:rPr>
        <w:t xml:space="preserve"> två rekommendationer: </w:t>
      </w:r>
    </w:p>
    <w:p w14:paraId="29304431" w14:textId="54B55D48" w:rsidR="0023696B" w:rsidRPr="00C5131B" w:rsidRDefault="003E622A" w:rsidP="00C5131B">
      <w:pPr>
        <w:pStyle w:val="Liststycke"/>
        <w:numPr>
          <w:ilvl w:val="0"/>
          <w:numId w:val="39"/>
        </w:numPr>
      </w:pPr>
      <w:r w:rsidRPr="00C5131B">
        <w:lastRenderedPageBreak/>
        <w:t xml:space="preserve">Reformera befintliga interbankräntor så att </w:t>
      </w:r>
      <w:r w:rsidR="00D42B10" w:rsidRPr="00C5131B">
        <w:t xml:space="preserve">de </w:t>
      </w:r>
      <w:r w:rsidRPr="00C5131B">
        <w:t>i huvudsak baseras på transaktioner och inslaget av skönsmässiga bedömningar hålls till ett minimum</w:t>
      </w:r>
    </w:p>
    <w:p w14:paraId="30961788" w14:textId="4D54B84C" w:rsidR="003E622A" w:rsidRPr="00C5131B" w:rsidRDefault="003E622A" w:rsidP="00C5131B">
      <w:pPr>
        <w:pStyle w:val="Liststycke"/>
        <w:numPr>
          <w:ilvl w:val="0"/>
          <w:numId w:val="39"/>
        </w:numPr>
      </w:pPr>
      <w:r w:rsidRPr="00C5131B">
        <w:t>Utveckla nästan riskfria räntor (RFR) som ett alternativ till interbankräntor.</w:t>
      </w:r>
    </w:p>
    <w:p w14:paraId="03DDE685" w14:textId="77777777" w:rsidR="003E622A" w:rsidRPr="00466452" w:rsidRDefault="003E622A" w:rsidP="00A5756B">
      <w:pPr>
        <w:rPr>
          <w:color w:val="auto"/>
        </w:rPr>
      </w:pPr>
    </w:p>
    <w:p w14:paraId="24004B97" w14:textId="1F6D64A1" w:rsidR="0023696B" w:rsidRPr="00466452" w:rsidRDefault="003E622A" w:rsidP="00A5756B">
      <w:pPr>
        <w:rPr>
          <w:color w:val="auto"/>
        </w:rPr>
      </w:pPr>
      <w:r w:rsidRPr="00466452">
        <w:rPr>
          <w:color w:val="auto"/>
        </w:rPr>
        <w:t xml:space="preserve">Den första punkten </w:t>
      </w:r>
      <w:r w:rsidR="00AC4654" w:rsidRPr="00466452">
        <w:rPr>
          <w:color w:val="auto"/>
        </w:rPr>
        <w:t xml:space="preserve">avser den nu gällande </w:t>
      </w:r>
      <w:r w:rsidRPr="00466452">
        <w:rPr>
          <w:color w:val="auto"/>
        </w:rPr>
        <w:t>Benchmarkförordningen</w:t>
      </w:r>
      <w:r w:rsidRPr="00466452">
        <w:rPr>
          <w:rStyle w:val="Fotnotsreferens"/>
          <w:color w:val="auto"/>
        </w:rPr>
        <w:footnoteReference w:id="2"/>
      </w:r>
      <w:r w:rsidR="00AC4654" w:rsidRPr="00466452">
        <w:rPr>
          <w:color w:val="auto"/>
        </w:rPr>
        <w:t>.</w:t>
      </w:r>
      <w:r w:rsidRPr="00466452">
        <w:rPr>
          <w:color w:val="auto"/>
        </w:rPr>
        <w:t xml:space="preserve"> </w:t>
      </w:r>
      <w:proofErr w:type="spellStart"/>
      <w:r w:rsidR="00F24C55">
        <w:rPr>
          <w:color w:val="auto"/>
        </w:rPr>
        <w:t>Financial</w:t>
      </w:r>
      <w:proofErr w:type="spellEnd"/>
      <w:r w:rsidR="00F24C55">
        <w:rPr>
          <w:color w:val="auto"/>
        </w:rPr>
        <w:t xml:space="preserve"> Benchmarks Sweden, ett helägt dotterbolag till </w:t>
      </w:r>
      <w:r w:rsidR="002C3B4A" w:rsidRPr="00466452">
        <w:rPr>
          <w:color w:val="auto"/>
        </w:rPr>
        <w:t>Bankföreningen</w:t>
      </w:r>
      <w:r w:rsidR="00F24C55">
        <w:rPr>
          <w:color w:val="auto"/>
        </w:rPr>
        <w:t>,</w:t>
      </w:r>
      <w:r w:rsidR="002C3B4A" w:rsidRPr="00466452">
        <w:rPr>
          <w:color w:val="auto"/>
        </w:rPr>
        <w:t xml:space="preserve"> som administrerar Stibor förbereder anpassningen av Stibor till Benchmarkförordningen. Stibor kommer därmed att fungera som referensränta under många år till. Det finns inga planer på att Stibor ska upphöra som referensränta</w:t>
      </w:r>
      <w:r w:rsidR="00B714BD">
        <w:rPr>
          <w:color w:val="auto"/>
        </w:rPr>
        <w:t xml:space="preserve">, till skillnad mot vad som gäller för andra </w:t>
      </w:r>
      <w:r w:rsidR="00F24C55">
        <w:rPr>
          <w:color w:val="auto"/>
        </w:rPr>
        <w:t>referensräntor</w:t>
      </w:r>
      <w:r w:rsidR="00B714BD">
        <w:rPr>
          <w:color w:val="auto"/>
        </w:rPr>
        <w:t xml:space="preserve"> såsom Eonia och Libor</w:t>
      </w:r>
      <w:r w:rsidR="002C3B4A" w:rsidRPr="00466452">
        <w:rPr>
          <w:color w:val="auto"/>
        </w:rPr>
        <w:t xml:space="preserve">.  </w:t>
      </w:r>
    </w:p>
    <w:p w14:paraId="535E3FD1" w14:textId="61C31C66" w:rsidR="006D55DA" w:rsidRPr="00466452" w:rsidRDefault="006D55DA" w:rsidP="00A5756B">
      <w:pPr>
        <w:rPr>
          <w:color w:val="auto"/>
        </w:rPr>
      </w:pPr>
    </w:p>
    <w:p w14:paraId="2C50AF0D" w14:textId="43B3AE43" w:rsidR="00A02D0F" w:rsidRPr="00466452" w:rsidRDefault="006D55DA" w:rsidP="00A5756B">
      <w:pPr>
        <w:rPr>
          <w:color w:val="auto"/>
        </w:rPr>
      </w:pPr>
      <w:r w:rsidRPr="00466452">
        <w:rPr>
          <w:color w:val="auto"/>
        </w:rPr>
        <w:t xml:space="preserve">Den andra punkten </w:t>
      </w:r>
      <w:r w:rsidR="00017808" w:rsidRPr="00466452">
        <w:rPr>
          <w:color w:val="auto"/>
        </w:rPr>
        <w:t xml:space="preserve">har medfört ett antal aktiviteter inom bland annat Europa och USA. Centralbanker i USA (FED), UK (BOA) och EU (ECB) har under en tid arbetat med att ta fram alternativ till så kallade ibors, interbankräntor. I USA </w:t>
      </w:r>
      <w:r w:rsidR="00A02D0F" w:rsidRPr="00466452">
        <w:rPr>
          <w:color w:val="auto"/>
        </w:rPr>
        <w:t>har SOFR lanserats, i UK SONIA och inom EU ESTER.</w:t>
      </w:r>
    </w:p>
    <w:p w14:paraId="5AC127C0" w14:textId="77777777" w:rsidR="002C3B4A" w:rsidRPr="00466452" w:rsidRDefault="002C3B4A" w:rsidP="00A5756B">
      <w:pPr>
        <w:rPr>
          <w:color w:val="auto"/>
        </w:rPr>
      </w:pPr>
    </w:p>
    <w:p w14:paraId="3280B5BC" w14:textId="4EC68A6F" w:rsidR="002C3B4A" w:rsidRPr="00466452" w:rsidRDefault="006D55DA" w:rsidP="00A5756B">
      <w:pPr>
        <w:rPr>
          <w:color w:val="auto"/>
        </w:rPr>
      </w:pPr>
      <w:r w:rsidRPr="00466452">
        <w:rPr>
          <w:color w:val="auto"/>
        </w:rPr>
        <w:t xml:space="preserve">I och med att det </w:t>
      </w:r>
      <w:r w:rsidR="00A02D0F" w:rsidRPr="00466452">
        <w:rPr>
          <w:color w:val="auto"/>
        </w:rPr>
        <w:t xml:space="preserve">nu </w:t>
      </w:r>
      <w:r w:rsidRPr="00466452">
        <w:rPr>
          <w:color w:val="auto"/>
        </w:rPr>
        <w:t xml:space="preserve">börjat publiceras nya RFR i andra länder så </w:t>
      </w:r>
      <w:r w:rsidR="00A02D0F" w:rsidRPr="00466452">
        <w:rPr>
          <w:color w:val="auto"/>
        </w:rPr>
        <w:t>är sannolikheten för en kommande efterfrågan av en alternativ referensränta också för den svenska kronan stor.</w:t>
      </w:r>
      <w:r w:rsidRPr="00466452">
        <w:rPr>
          <w:color w:val="auto"/>
        </w:rPr>
        <w:t xml:space="preserve"> </w:t>
      </w:r>
      <w:r w:rsidR="00E4169E" w:rsidRPr="00466452">
        <w:rPr>
          <w:color w:val="auto"/>
        </w:rPr>
        <w:t xml:space="preserve">Det </w:t>
      </w:r>
      <w:r w:rsidR="00A02D0F" w:rsidRPr="00466452">
        <w:rPr>
          <w:color w:val="auto"/>
        </w:rPr>
        <w:t xml:space="preserve">finns också inom </w:t>
      </w:r>
      <w:r w:rsidR="00E4169E" w:rsidRPr="00466452">
        <w:rPr>
          <w:color w:val="auto"/>
        </w:rPr>
        <w:t xml:space="preserve">Benchmarkförordningen </w:t>
      </w:r>
      <w:r w:rsidR="00A02D0F" w:rsidRPr="00466452">
        <w:rPr>
          <w:color w:val="auto"/>
        </w:rPr>
        <w:t xml:space="preserve">ett krav på en så kallad fallback, ett alternativt referensvärde att använda om en ibor inte kan nyttjas. </w:t>
      </w:r>
      <w:r w:rsidR="00E4169E" w:rsidRPr="00466452">
        <w:rPr>
          <w:color w:val="auto"/>
        </w:rPr>
        <w:t xml:space="preserve"> </w:t>
      </w:r>
    </w:p>
    <w:p w14:paraId="11921FB7" w14:textId="652B039A" w:rsidR="003E622A" w:rsidRPr="00466452" w:rsidRDefault="003E622A" w:rsidP="00A5756B">
      <w:pPr>
        <w:rPr>
          <w:color w:val="auto"/>
        </w:rPr>
      </w:pPr>
    </w:p>
    <w:p w14:paraId="485ED42B" w14:textId="77777777" w:rsidR="00E11E3F" w:rsidRDefault="005B57CC" w:rsidP="00A5756B">
      <w:pPr>
        <w:rPr>
          <w:color w:val="auto"/>
        </w:rPr>
      </w:pPr>
      <w:r w:rsidRPr="00466452">
        <w:rPr>
          <w:color w:val="auto"/>
        </w:rPr>
        <w:t xml:space="preserve">Med anledning av händelseutvecklingen i andra länder </w:t>
      </w:r>
      <w:r w:rsidR="00E4169E" w:rsidRPr="00466452">
        <w:rPr>
          <w:color w:val="auto"/>
        </w:rPr>
        <w:t xml:space="preserve">tog Bankföreningen initiativ till en arbetsgrupp för att utveckla alternativa referensräntor. </w:t>
      </w:r>
      <w:r w:rsidRPr="00466452">
        <w:rPr>
          <w:color w:val="auto"/>
        </w:rPr>
        <w:t>Bankföreningens befintliga</w:t>
      </w:r>
      <w:r w:rsidR="006C57CF" w:rsidRPr="00466452">
        <w:rPr>
          <w:color w:val="auto"/>
        </w:rPr>
        <w:t xml:space="preserve"> Stiborkommitté</w:t>
      </w:r>
      <w:r w:rsidRPr="00466452">
        <w:rPr>
          <w:color w:val="auto"/>
        </w:rPr>
        <w:t xml:space="preserve"> k</w:t>
      </w:r>
      <w:r w:rsidR="006C57CF" w:rsidRPr="00466452">
        <w:rPr>
          <w:color w:val="auto"/>
        </w:rPr>
        <w:t>largjorde uppdraget i form av en uppdragsbesk</w:t>
      </w:r>
    </w:p>
    <w:p w14:paraId="21E5FFCE" w14:textId="149170DD" w:rsidR="001C27A8" w:rsidRDefault="006C57CF" w:rsidP="00A5756B">
      <w:r w:rsidRPr="00466452">
        <w:rPr>
          <w:color w:val="auto"/>
        </w:rPr>
        <w:t>rivning.</w:t>
      </w:r>
      <w:r w:rsidRPr="00466452">
        <w:rPr>
          <w:rStyle w:val="Fotnotsreferens"/>
          <w:color w:val="auto"/>
        </w:rPr>
        <w:footnoteReference w:id="3"/>
      </w:r>
      <w:r w:rsidRPr="00466452">
        <w:rPr>
          <w:color w:val="auto"/>
        </w:rPr>
        <w:t xml:space="preserve"> </w:t>
      </w:r>
      <w:r w:rsidR="009F1AA8" w:rsidRPr="00466452">
        <w:rPr>
          <w:color w:val="auto"/>
        </w:rPr>
        <w:t>Den sista</w:t>
      </w:r>
      <w:r w:rsidR="00DB5BA6" w:rsidRPr="00466452">
        <w:rPr>
          <w:color w:val="auto"/>
        </w:rPr>
        <w:t xml:space="preserve"> november 2018 hade Arbetsgruppen för alternativa referensräntor sitt konstituerande möte. Syftet med gruppen är att ta fram en eller flera referensräntor som kan ersätta eller komplettera Stibor </w:t>
      </w:r>
      <w:r w:rsidR="005B57CC" w:rsidRPr="00466452">
        <w:rPr>
          <w:color w:val="auto"/>
        </w:rPr>
        <w:t xml:space="preserve">inom </w:t>
      </w:r>
      <w:r w:rsidR="00DB5BA6" w:rsidRPr="00466452">
        <w:rPr>
          <w:color w:val="auto"/>
        </w:rPr>
        <w:t>finansiella kontrakt i SEK.</w:t>
      </w:r>
      <w:r w:rsidR="00DB5BA6">
        <w:t xml:space="preserve"> </w:t>
      </w:r>
      <w:r w:rsidR="00D06043">
        <w:t xml:space="preserve">I dagsläget finns inte några planer på att Stibor ska upphöra utan arbete pågår med att få Stibor godkänd enligt </w:t>
      </w:r>
      <w:r w:rsidR="00D06043" w:rsidRPr="00616CFC">
        <w:t>BMR</w:t>
      </w:r>
      <w:bookmarkStart w:id="5" w:name="_Hlk5172326"/>
      <w:r w:rsidR="00D06043" w:rsidRPr="00616CFC">
        <w:t xml:space="preserve">. </w:t>
      </w:r>
      <w:bookmarkStart w:id="6" w:name="_Hlk5172395"/>
      <w:r w:rsidR="00635610" w:rsidRPr="00616CFC">
        <w:t>Administratörer av referensvärden måste av tillsynsmyndigheten auktoriseras under BMR, för att referensvärdet fortsatt ska få användas efter 2019. Enligt ett pressmeddelande från Kommissionen</w:t>
      </w:r>
      <w:r w:rsidR="008F37A9" w:rsidRPr="00616CFC">
        <w:rPr>
          <w:rStyle w:val="Fotnotsreferens"/>
        </w:rPr>
        <w:footnoteReference w:id="4"/>
      </w:r>
      <w:r w:rsidR="00635610" w:rsidRPr="00616CFC">
        <w:rPr>
          <w:i/>
          <w:iCs/>
        </w:rPr>
        <w:t xml:space="preserve"> </w:t>
      </w:r>
      <w:r w:rsidR="00635610" w:rsidRPr="00616CFC">
        <w:t>har dock anpassningstiden för alla kritiska benchmarks, bla</w:t>
      </w:r>
      <w:r w:rsidR="00616CFC">
        <w:t>nd annat</w:t>
      </w:r>
      <w:r w:rsidR="00635610" w:rsidRPr="00616CFC">
        <w:t xml:space="preserve"> Stibor, förlängts till den 31 december 2021</w:t>
      </w:r>
      <w:r w:rsidR="001C27A8" w:rsidRPr="00616CFC">
        <w:t>.</w:t>
      </w:r>
      <w:bookmarkEnd w:id="6"/>
      <w:r w:rsidR="001C27A8">
        <w:t xml:space="preserve"> </w:t>
      </w:r>
    </w:p>
    <w:p w14:paraId="4761F7CE" w14:textId="77777777" w:rsidR="00F24C55" w:rsidRDefault="00F24C55" w:rsidP="00A5756B"/>
    <w:bookmarkEnd w:id="5"/>
    <w:p w14:paraId="0A6EAEAD" w14:textId="0F934C51" w:rsidR="00AC36E9" w:rsidRDefault="00DB5BA6" w:rsidP="00A5756B">
      <w:r>
        <w:t>Arbet</w:t>
      </w:r>
      <w:r w:rsidR="00AC36E9">
        <w:t>s</w:t>
      </w:r>
      <w:r>
        <w:t>gruppen består av de banker som idag bidrar till att Stibor kan beräknas</w:t>
      </w:r>
      <w:r>
        <w:rPr>
          <w:rStyle w:val="Fotnotsreferens"/>
        </w:rPr>
        <w:footnoteReference w:id="5"/>
      </w:r>
      <w:r>
        <w:t xml:space="preserve">. I Arbetsgruppen ingår även Riksbanken, Riksgälden, Finansinspektionen </w:t>
      </w:r>
      <w:r w:rsidR="00AC36E9">
        <w:t xml:space="preserve">och Bankföreningen som observatörer. Bankföreningen administrerar arbetsgruppen. </w:t>
      </w:r>
      <w:r w:rsidR="00AC36E9">
        <w:lastRenderedPageBreak/>
        <w:t xml:space="preserve">Tidsplanen är att arbetsgruppen ska leverera en rekommendation om en </w:t>
      </w:r>
      <w:r w:rsidR="00641D29">
        <w:t>eller flera nya</w:t>
      </w:r>
      <w:r w:rsidR="00AC36E9">
        <w:t xml:space="preserve"> referensränt</w:t>
      </w:r>
      <w:r w:rsidR="00641D29">
        <w:t>or</w:t>
      </w:r>
      <w:r w:rsidR="00AC36E9">
        <w:t xml:space="preserve"> i slutet av </w:t>
      </w:r>
      <w:r w:rsidR="005B57CC">
        <w:t>2019</w:t>
      </w:r>
      <w:r w:rsidR="00AC36E9">
        <w:t xml:space="preserve">. </w:t>
      </w:r>
    </w:p>
    <w:p w14:paraId="4F2BCB88" w14:textId="5E2C04BC" w:rsidR="00AC36E9" w:rsidRPr="003A7356" w:rsidRDefault="00AC36E9" w:rsidP="00A5756B">
      <w:pPr>
        <w:rPr>
          <w:color w:val="auto"/>
        </w:rPr>
      </w:pPr>
    </w:p>
    <w:p w14:paraId="4610EB64" w14:textId="5D13B3F2" w:rsidR="005B57CC" w:rsidRDefault="00AC36E9" w:rsidP="00A5756B">
      <w:r w:rsidRPr="003A7356">
        <w:rPr>
          <w:color w:val="auto"/>
        </w:rPr>
        <w:t xml:space="preserve">Arbetsgruppen har </w:t>
      </w:r>
      <w:r w:rsidR="00F2786F" w:rsidRPr="003A7356">
        <w:rPr>
          <w:color w:val="auto"/>
        </w:rPr>
        <w:t>ambitione</w:t>
      </w:r>
      <w:r w:rsidR="005B57CC" w:rsidRPr="003A7356">
        <w:rPr>
          <w:color w:val="auto"/>
        </w:rPr>
        <w:t>n</w:t>
      </w:r>
      <w:r w:rsidR="00F2786F" w:rsidRPr="003A7356">
        <w:rPr>
          <w:color w:val="auto"/>
        </w:rPr>
        <w:t xml:space="preserve"> att hitta förslag på alternativ till Stibor i enlighet med övrig global utveckling</w:t>
      </w:r>
      <w:r w:rsidR="00F24C55">
        <w:rPr>
          <w:color w:val="auto"/>
        </w:rPr>
        <w:t>.</w:t>
      </w:r>
      <w:r w:rsidR="00F2786F" w:rsidRPr="003A7356">
        <w:rPr>
          <w:color w:val="auto"/>
        </w:rPr>
        <w:t xml:space="preserve"> </w:t>
      </w:r>
      <w:r w:rsidR="00802C82" w:rsidRPr="003A7356">
        <w:rPr>
          <w:color w:val="auto"/>
        </w:rPr>
        <w:t>M</w:t>
      </w:r>
      <w:r w:rsidRPr="003A7356">
        <w:rPr>
          <w:color w:val="auto"/>
        </w:rPr>
        <w:t xml:space="preserve">ålsättningen </w:t>
      </w:r>
      <w:r w:rsidR="00802C82" w:rsidRPr="003A7356">
        <w:rPr>
          <w:color w:val="auto"/>
        </w:rPr>
        <w:t xml:space="preserve">är </w:t>
      </w:r>
      <w:r w:rsidRPr="003A7356">
        <w:rPr>
          <w:color w:val="auto"/>
        </w:rPr>
        <w:t xml:space="preserve">att </w:t>
      </w:r>
      <w:r w:rsidR="00641D29" w:rsidRPr="003A7356">
        <w:rPr>
          <w:color w:val="auto"/>
        </w:rPr>
        <w:t xml:space="preserve">finna lösningar som i </w:t>
      </w:r>
      <w:r w:rsidR="00F24C55">
        <w:rPr>
          <w:color w:val="auto"/>
        </w:rPr>
        <w:t>möjligaste</w:t>
      </w:r>
      <w:r w:rsidR="00F24C55" w:rsidRPr="003A7356">
        <w:rPr>
          <w:color w:val="auto"/>
        </w:rPr>
        <w:t xml:space="preserve"> </w:t>
      </w:r>
      <w:r w:rsidR="00641D29" w:rsidRPr="003A7356">
        <w:rPr>
          <w:color w:val="auto"/>
        </w:rPr>
        <w:t xml:space="preserve">mån överensstämmer med vad andra arbetsgrupper </w:t>
      </w:r>
      <w:r w:rsidR="00641D29">
        <w:t>kommit fram till</w:t>
      </w:r>
      <w:r>
        <w:t xml:space="preserve">. </w:t>
      </w:r>
    </w:p>
    <w:p w14:paraId="698B1483" w14:textId="77777777" w:rsidR="005B57CC" w:rsidRDefault="005B57CC" w:rsidP="00A5756B"/>
    <w:p w14:paraId="383A143A" w14:textId="6A7B1E74" w:rsidR="005B57CC" w:rsidRPr="0027795F" w:rsidRDefault="00F434DA" w:rsidP="00A5756B">
      <w:pPr>
        <w:rPr>
          <w:color w:val="auto"/>
        </w:rPr>
      </w:pPr>
      <w:r>
        <w:t xml:space="preserve">En genomgående tanke för allt arbete i arbetsgruppen är att följa internationella konventioner i så stor utsträckning som </w:t>
      </w:r>
      <w:r w:rsidRPr="0027795F">
        <w:rPr>
          <w:color w:val="auto"/>
        </w:rPr>
        <w:t xml:space="preserve">möjligt. </w:t>
      </w:r>
    </w:p>
    <w:p w14:paraId="05CF0DB0" w14:textId="734CC418" w:rsidR="00475F60" w:rsidRPr="0027795F" w:rsidRDefault="00475F60" w:rsidP="00A5756B">
      <w:pPr>
        <w:rPr>
          <w:color w:val="auto"/>
        </w:rPr>
      </w:pPr>
    </w:p>
    <w:p w14:paraId="630BBE88" w14:textId="25428542" w:rsidR="00475F60" w:rsidRPr="0027795F" w:rsidRDefault="004323FE" w:rsidP="00A5756B">
      <w:pPr>
        <w:rPr>
          <w:color w:val="auto"/>
        </w:rPr>
      </w:pPr>
      <w:r w:rsidRPr="0027795F">
        <w:rPr>
          <w:color w:val="auto"/>
        </w:rPr>
        <w:t xml:space="preserve">Den </w:t>
      </w:r>
      <w:r w:rsidR="00475F60" w:rsidRPr="0027795F">
        <w:rPr>
          <w:color w:val="auto"/>
        </w:rPr>
        <w:t>vanligaste löptiden för en RFR</w:t>
      </w:r>
      <w:r w:rsidRPr="0027795F">
        <w:rPr>
          <w:color w:val="auto"/>
        </w:rPr>
        <w:t xml:space="preserve">, </w:t>
      </w:r>
      <w:r w:rsidR="00475F60" w:rsidRPr="0027795F">
        <w:rPr>
          <w:color w:val="auto"/>
        </w:rPr>
        <w:t>i de länder där sådana räntor har introducerats</w:t>
      </w:r>
      <w:r w:rsidRPr="0027795F">
        <w:rPr>
          <w:color w:val="auto"/>
        </w:rPr>
        <w:t>,</w:t>
      </w:r>
      <w:r w:rsidR="00475F60" w:rsidRPr="0027795F">
        <w:rPr>
          <w:color w:val="auto"/>
        </w:rPr>
        <w:t xml:space="preserve"> är </w:t>
      </w:r>
      <w:proofErr w:type="spellStart"/>
      <w:r w:rsidR="00475F60" w:rsidRPr="0027795F">
        <w:rPr>
          <w:color w:val="auto"/>
        </w:rPr>
        <w:t>overnight</w:t>
      </w:r>
      <w:proofErr w:type="spellEnd"/>
      <w:r w:rsidR="00D42B10">
        <w:rPr>
          <w:color w:val="auto"/>
        </w:rPr>
        <w:t xml:space="preserve"> (O/N)</w:t>
      </w:r>
      <w:r w:rsidRPr="0027795F">
        <w:rPr>
          <w:color w:val="auto"/>
        </w:rPr>
        <w:t xml:space="preserve">. Med detta följer att </w:t>
      </w:r>
      <w:r w:rsidR="00A1366F" w:rsidRPr="0027795F">
        <w:rPr>
          <w:color w:val="auto"/>
        </w:rPr>
        <w:t xml:space="preserve">penningpolitiken får en större betydelse för en RFR än vad som idag är fallet med de längre Stibor-räntorna. </w:t>
      </w:r>
      <w:r w:rsidRPr="0027795F">
        <w:rPr>
          <w:color w:val="auto"/>
        </w:rPr>
        <w:t xml:space="preserve">Sambandet mellan banksystemet och centralbanken </w:t>
      </w:r>
      <w:r w:rsidR="00A1366F" w:rsidRPr="0027795F">
        <w:rPr>
          <w:color w:val="auto"/>
        </w:rPr>
        <w:t xml:space="preserve">fungerar olika </w:t>
      </w:r>
      <w:r w:rsidRPr="0027795F">
        <w:rPr>
          <w:color w:val="auto"/>
        </w:rPr>
        <w:t>i olika länder</w:t>
      </w:r>
      <w:r w:rsidR="00A1366F" w:rsidRPr="0027795F">
        <w:rPr>
          <w:color w:val="auto"/>
        </w:rPr>
        <w:t>.</w:t>
      </w:r>
      <w:r w:rsidR="00475F60" w:rsidRPr="0027795F">
        <w:rPr>
          <w:color w:val="auto"/>
        </w:rPr>
        <w:t xml:space="preserve"> </w:t>
      </w:r>
      <w:r w:rsidR="00A1366F" w:rsidRPr="0027795F">
        <w:rPr>
          <w:color w:val="auto"/>
        </w:rPr>
        <w:t xml:space="preserve">Detta gör att situationer av stress eller av mer agerande penningpolitik får olika genomslag på korta räntor. En övergång från att referera till Stibor tre månader till </w:t>
      </w:r>
      <w:r w:rsidRPr="0027795F">
        <w:rPr>
          <w:color w:val="auto"/>
        </w:rPr>
        <w:t>en</w:t>
      </w:r>
      <w:r w:rsidR="00A1366F" w:rsidRPr="0027795F">
        <w:rPr>
          <w:color w:val="auto"/>
        </w:rPr>
        <w:t xml:space="preserve"> </w:t>
      </w:r>
      <w:r w:rsidR="00D42B10">
        <w:rPr>
          <w:color w:val="auto"/>
        </w:rPr>
        <w:t>O/N</w:t>
      </w:r>
      <w:r w:rsidR="00A1366F" w:rsidRPr="0027795F">
        <w:rPr>
          <w:color w:val="auto"/>
        </w:rPr>
        <w:t>-ränta kommer dels innebära en förändring i nivå</w:t>
      </w:r>
      <w:r w:rsidRPr="0027795F">
        <w:rPr>
          <w:color w:val="auto"/>
        </w:rPr>
        <w:t>n</w:t>
      </w:r>
      <w:r w:rsidR="00A1366F" w:rsidRPr="0027795F">
        <w:rPr>
          <w:color w:val="auto"/>
        </w:rPr>
        <w:t xml:space="preserve"> men </w:t>
      </w:r>
      <w:r w:rsidRPr="0027795F">
        <w:rPr>
          <w:color w:val="auto"/>
        </w:rPr>
        <w:t xml:space="preserve">också </w:t>
      </w:r>
      <w:r w:rsidR="00A1366F" w:rsidRPr="0027795F">
        <w:rPr>
          <w:color w:val="auto"/>
        </w:rPr>
        <w:t xml:space="preserve">i volatilitet. </w:t>
      </w:r>
      <w:bookmarkStart w:id="7" w:name="_Hlk4578514"/>
      <w:r w:rsidR="00A1366F" w:rsidRPr="0027795F">
        <w:rPr>
          <w:color w:val="auto"/>
        </w:rPr>
        <w:t xml:space="preserve">En beskrivning av hur </w:t>
      </w:r>
      <w:r w:rsidR="00F324A4" w:rsidRPr="0027795F">
        <w:rPr>
          <w:color w:val="auto"/>
        </w:rPr>
        <w:t xml:space="preserve">penningpolitiken realiseras i Sverige </w:t>
      </w:r>
      <w:r w:rsidRPr="0027795F">
        <w:rPr>
          <w:color w:val="auto"/>
        </w:rPr>
        <w:t>återfinns</w:t>
      </w:r>
      <w:r w:rsidR="00F324A4" w:rsidRPr="0027795F">
        <w:rPr>
          <w:color w:val="auto"/>
        </w:rPr>
        <w:t xml:space="preserve"> på Riksbankens hemsida</w:t>
      </w:r>
      <w:r w:rsidR="00F324A4" w:rsidRPr="0027795F">
        <w:rPr>
          <w:rStyle w:val="Fotnotsreferens"/>
          <w:color w:val="auto"/>
        </w:rPr>
        <w:footnoteReference w:id="6"/>
      </w:r>
      <w:r w:rsidR="00F324A4" w:rsidRPr="0027795F">
        <w:rPr>
          <w:color w:val="auto"/>
        </w:rPr>
        <w:t xml:space="preserve"> och i </w:t>
      </w:r>
      <w:r w:rsidRPr="0027795F">
        <w:rPr>
          <w:color w:val="auto"/>
        </w:rPr>
        <w:t xml:space="preserve">Riksbankens </w:t>
      </w:r>
      <w:r w:rsidR="00F324A4" w:rsidRPr="0027795F">
        <w:rPr>
          <w:color w:val="auto"/>
        </w:rPr>
        <w:t>dokument</w:t>
      </w:r>
      <w:r w:rsidRPr="0027795F">
        <w:rPr>
          <w:color w:val="auto"/>
        </w:rPr>
        <w:t xml:space="preserve"> </w:t>
      </w:r>
      <w:r w:rsidR="003A7356" w:rsidRPr="0027795F">
        <w:rPr>
          <w:color w:val="auto"/>
        </w:rPr>
        <w:t>Riksbankens penningpolitiska styrsystem – övergripande beskrivning</w:t>
      </w:r>
      <w:r w:rsidR="00A1366F" w:rsidRPr="0027795F">
        <w:rPr>
          <w:color w:val="auto"/>
        </w:rPr>
        <w:t>.</w:t>
      </w:r>
      <w:bookmarkEnd w:id="7"/>
      <w:r w:rsidR="00F324A4" w:rsidRPr="0027795F">
        <w:rPr>
          <w:rStyle w:val="Fotnotsreferens"/>
          <w:color w:val="auto"/>
        </w:rPr>
        <w:footnoteReference w:id="7"/>
      </w:r>
      <w:r w:rsidR="00A1366F" w:rsidRPr="0027795F">
        <w:rPr>
          <w:color w:val="auto"/>
        </w:rPr>
        <w:t xml:space="preserve"> </w:t>
      </w:r>
    </w:p>
    <w:p w14:paraId="590B9AA3" w14:textId="2D3831DD" w:rsidR="00F434DA" w:rsidRPr="0027795F" w:rsidRDefault="00F434DA" w:rsidP="00A5756B">
      <w:pPr>
        <w:rPr>
          <w:color w:val="auto"/>
        </w:rPr>
      </w:pPr>
    </w:p>
    <w:p w14:paraId="34878F7D" w14:textId="75107C00" w:rsidR="005F1C04" w:rsidRDefault="00F434DA" w:rsidP="00A5756B">
      <w:r w:rsidRPr="0027795F">
        <w:rPr>
          <w:color w:val="auto"/>
        </w:rPr>
        <w:t xml:space="preserve">Arbetet i Arbetsgruppen </w:t>
      </w:r>
      <w:r w:rsidR="00641D29" w:rsidRPr="0027795F">
        <w:rPr>
          <w:color w:val="auto"/>
        </w:rPr>
        <w:t>är för närvarande uppdela</w:t>
      </w:r>
      <w:r w:rsidR="001F1A97">
        <w:rPr>
          <w:color w:val="auto"/>
        </w:rPr>
        <w:t>t</w:t>
      </w:r>
      <w:r w:rsidR="00641D29" w:rsidRPr="0027795F">
        <w:rPr>
          <w:color w:val="auto"/>
        </w:rPr>
        <w:t xml:space="preserve"> i </w:t>
      </w:r>
      <w:r w:rsidRPr="0027795F">
        <w:rPr>
          <w:color w:val="auto"/>
        </w:rPr>
        <w:t xml:space="preserve">sex olika områden. </w:t>
      </w:r>
      <w:r w:rsidR="00641D29" w:rsidRPr="0027795F">
        <w:rPr>
          <w:color w:val="auto"/>
        </w:rPr>
        <w:t xml:space="preserve">Denna uppdelning </w:t>
      </w:r>
      <w:r w:rsidR="00641D29">
        <w:t xml:space="preserve">kan komma att ändras om det visar sig att förutsättningarna förändras. </w:t>
      </w:r>
      <w:r w:rsidR="004323FE">
        <w:t xml:space="preserve">Arbetsgruppens ambition är att publicera konsultationer </w:t>
      </w:r>
      <w:r w:rsidR="00112266">
        <w:t xml:space="preserve">inom ett </w:t>
      </w:r>
      <w:r w:rsidR="005F1C04">
        <w:t>antal</w:t>
      </w:r>
      <w:r w:rsidR="00112266">
        <w:t xml:space="preserve"> </w:t>
      </w:r>
      <w:r w:rsidR="003A7356">
        <w:t xml:space="preserve">av dessa </w:t>
      </w:r>
      <w:r w:rsidR="00112266">
        <w:t xml:space="preserve">områden </w:t>
      </w:r>
      <w:r w:rsidR="004323FE">
        <w:t>där</w:t>
      </w:r>
      <w:r>
        <w:t xml:space="preserve"> </w:t>
      </w:r>
      <w:r w:rsidR="003A7356">
        <w:t>allmänheten</w:t>
      </w:r>
      <w:r>
        <w:t xml:space="preserve"> ombe</w:t>
      </w:r>
      <w:r w:rsidR="004323FE">
        <w:t>d</w:t>
      </w:r>
      <w:r>
        <w:t>s</w:t>
      </w:r>
      <w:r w:rsidR="004323FE">
        <w:t xml:space="preserve"> att</w:t>
      </w:r>
      <w:r>
        <w:t xml:space="preserve"> lämna synpunkter på framtagna förslag</w:t>
      </w:r>
      <w:r w:rsidR="004323FE">
        <w:t xml:space="preserve">. </w:t>
      </w:r>
      <w:r>
        <w:t>Detta är den första konsultatione</w:t>
      </w:r>
      <w:r w:rsidR="004323FE">
        <w:t>n</w:t>
      </w:r>
      <w:r>
        <w:t xml:space="preserve">. </w:t>
      </w:r>
    </w:p>
    <w:p w14:paraId="5FDDAC2C" w14:textId="09192FC5" w:rsidR="00F434DA" w:rsidRDefault="00F434DA" w:rsidP="00B714BD">
      <w:pPr>
        <w:ind w:firstLine="60"/>
      </w:pPr>
    </w:p>
    <w:p w14:paraId="593CE95B" w14:textId="15EFF729" w:rsidR="0048369E" w:rsidRDefault="00F434DA" w:rsidP="00B714BD">
      <w:pPr>
        <w:pStyle w:val="Liststycke"/>
        <w:numPr>
          <w:ilvl w:val="0"/>
          <w:numId w:val="37"/>
        </w:numPr>
      </w:pPr>
      <w:r w:rsidRPr="00B714BD">
        <w:rPr>
          <w:b/>
        </w:rPr>
        <w:t>Definition av referensränta</w:t>
      </w:r>
      <w:r>
        <w:t>: I</w:t>
      </w:r>
      <w:r w:rsidR="005F1C04">
        <w:t>nom</w:t>
      </w:r>
      <w:r>
        <w:t xml:space="preserve"> detta område ska det undersökas vad som skulle vara en lämplig variant av en nästan riskfri ränta (RFR) för SEK. </w:t>
      </w:r>
      <w:r w:rsidR="00B70823">
        <w:br/>
      </w:r>
    </w:p>
    <w:p w14:paraId="22ABA040" w14:textId="14720BE8" w:rsidR="00F434DA" w:rsidRDefault="00F434DA" w:rsidP="00B714BD">
      <w:pPr>
        <w:pStyle w:val="Liststycke"/>
        <w:numPr>
          <w:ilvl w:val="0"/>
          <w:numId w:val="37"/>
        </w:numPr>
      </w:pPr>
      <w:r w:rsidRPr="00B714BD">
        <w:rPr>
          <w:b/>
        </w:rPr>
        <w:t>Kontraktsanalys</w:t>
      </w:r>
      <w:r>
        <w:t xml:space="preserve">: För att analysera behovet av en referensränta </w:t>
      </w:r>
      <w:r w:rsidR="00B714BD">
        <w:t xml:space="preserve">med längre löptid så </w:t>
      </w:r>
      <w:r>
        <w:t>kommer olika former av finansiella kontrakt att analysera</w:t>
      </w:r>
      <w:r w:rsidR="001F1A97">
        <w:t>s</w:t>
      </w:r>
      <w:r>
        <w:t xml:space="preserve"> utifrån frågan om de skulle kunna fungera med en kort referensränta istället för de referensräntor som </w:t>
      </w:r>
      <w:r w:rsidR="00641D29">
        <w:t xml:space="preserve">nu </w:t>
      </w:r>
      <w:r>
        <w:t xml:space="preserve">finns (Stibor). Syftet med detta är att se om det finns argument som talar för att det kan behövas fler referensräntor än RFR. </w:t>
      </w:r>
    </w:p>
    <w:p w14:paraId="5B82871C" w14:textId="77777777" w:rsidR="005F1C04" w:rsidRDefault="005F1C04" w:rsidP="00B714BD">
      <w:pPr>
        <w:pStyle w:val="Liststycke"/>
        <w:ind w:left="453"/>
      </w:pPr>
    </w:p>
    <w:p w14:paraId="562374D5" w14:textId="0F2DC40B" w:rsidR="00F434DA" w:rsidRDefault="00125532" w:rsidP="00B714BD">
      <w:pPr>
        <w:pStyle w:val="Liststycke"/>
        <w:numPr>
          <w:ilvl w:val="0"/>
          <w:numId w:val="37"/>
        </w:numPr>
      </w:pPr>
      <w:r w:rsidRPr="00B714BD">
        <w:rPr>
          <w:b/>
        </w:rPr>
        <w:lastRenderedPageBreak/>
        <w:t>Utveckla en referensränta</w:t>
      </w:r>
      <w:r w:rsidR="00B714BD">
        <w:rPr>
          <w:b/>
        </w:rPr>
        <w:t xml:space="preserve"> med längre löptid</w:t>
      </w:r>
      <w:r>
        <w:t xml:space="preserve">: </w:t>
      </w:r>
      <w:r w:rsidR="005F1C04">
        <w:t xml:space="preserve">Om det, genom ovan analys, </w:t>
      </w:r>
      <w:r>
        <w:t xml:space="preserve">visar sig att marknaden behöver en referensränta </w:t>
      </w:r>
      <w:r w:rsidR="00B714BD">
        <w:t xml:space="preserve">med längre löptid </w:t>
      </w:r>
      <w:r>
        <w:t xml:space="preserve">så </w:t>
      </w:r>
      <w:r w:rsidR="005F1C04">
        <w:t xml:space="preserve">ska förslag till en </w:t>
      </w:r>
      <w:r w:rsidR="00B714BD">
        <w:t>sådan</w:t>
      </w:r>
      <w:r w:rsidR="005F1C04">
        <w:t xml:space="preserve"> </w:t>
      </w:r>
      <w:r w:rsidR="001F1A97">
        <w:t xml:space="preserve">försöka </w:t>
      </w:r>
      <w:r w:rsidR="005F1C04">
        <w:t xml:space="preserve">arbetas fram. </w:t>
      </w:r>
      <w:r>
        <w:t xml:space="preserve"> </w:t>
      </w:r>
    </w:p>
    <w:p w14:paraId="422E1E4E" w14:textId="77777777" w:rsidR="005F1C04" w:rsidRDefault="005F1C04" w:rsidP="00B714BD"/>
    <w:p w14:paraId="4A23B740" w14:textId="69C6A12D" w:rsidR="00125532" w:rsidRDefault="00125532" w:rsidP="00B714BD">
      <w:pPr>
        <w:pStyle w:val="Liststycke"/>
        <w:numPr>
          <w:ilvl w:val="0"/>
          <w:numId w:val="37"/>
        </w:numPr>
      </w:pPr>
      <w:r w:rsidRPr="00B714BD">
        <w:rPr>
          <w:b/>
        </w:rPr>
        <w:t>Påverkan på hela affären</w:t>
      </w:r>
      <w:r>
        <w:t xml:space="preserve">: Om dagens referensräntor byts mot en kort referensränta (RFR) kommer det </w:t>
      </w:r>
      <w:r w:rsidR="005F1C04">
        <w:t xml:space="preserve">att </w:t>
      </w:r>
      <w:r>
        <w:t xml:space="preserve">påverka hela affären för främst finansiella företag men </w:t>
      </w:r>
      <w:r w:rsidR="005F1C04">
        <w:t xml:space="preserve">också </w:t>
      </w:r>
      <w:r w:rsidR="0074090B">
        <w:t xml:space="preserve">för andra delar av samhället. </w:t>
      </w:r>
      <w:r w:rsidR="00866730">
        <w:t xml:space="preserve">Det gäller främst frågor om värdering, redovisning samt riskhantering som följd av ändrade referensräntor. </w:t>
      </w:r>
      <w:r w:rsidR="00077465">
        <w:t xml:space="preserve">Detta ska belysas för att se om det finns komplikationer som inte tidigare har framkommit och </w:t>
      </w:r>
      <w:r w:rsidR="00967D87">
        <w:t xml:space="preserve">som </w:t>
      </w:r>
      <w:r w:rsidR="00077465">
        <w:t xml:space="preserve">därmed skulle kunna påverka valet av ny referensränta. </w:t>
      </w:r>
    </w:p>
    <w:p w14:paraId="7D22C04F" w14:textId="77777777" w:rsidR="00967D87" w:rsidRDefault="00967D87" w:rsidP="00B714BD"/>
    <w:p w14:paraId="295B61D9" w14:textId="76B37F64" w:rsidR="00967D87" w:rsidRDefault="00866730" w:rsidP="00B714BD">
      <w:pPr>
        <w:pStyle w:val="Liststycke"/>
        <w:numPr>
          <w:ilvl w:val="0"/>
          <w:numId w:val="37"/>
        </w:numPr>
      </w:pPr>
      <w:r w:rsidRPr="00B714BD">
        <w:rPr>
          <w:b/>
        </w:rPr>
        <w:t>Övergångsmetod</w:t>
      </w:r>
      <w:r>
        <w:t>:</w:t>
      </w:r>
      <w:r w:rsidR="00967D87">
        <w:t xml:space="preserve"> </w:t>
      </w:r>
      <w:r w:rsidR="00D06043">
        <w:t>Arbetsgruppen utgår från att Stibor ska finnas kvar under lång tid</w:t>
      </w:r>
      <w:r w:rsidR="00967D87">
        <w:t>. Hur ska den nya referensräntan introduceras i marknaden och h</w:t>
      </w:r>
      <w:r w:rsidR="00D06043">
        <w:t xml:space="preserve">ur ska </w:t>
      </w:r>
      <w:r w:rsidR="00967D87">
        <w:t xml:space="preserve">kombinationen med en </w:t>
      </w:r>
      <w:r w:rsidR="00D06043">
        <w:t xml:space="preserve">ny referensränta </w:t>
      </w:r>
      <w:r w:rsidR="00967D87">
        <w:t>hanteras.</w:t>
      </w:r>
    </w:p>
    <w:p w14:paraId="22EE6587" w14:textId="00DB87B2" w:rsidR="00F43C11" w:rsidRDefault="00F43C11" w:rsidP="00B714BD">
      <w:pPr>
        <w:ind w:firstLine="60"/>
      </w:pPr>
    </w:p>
    <w:p w14:paraId="57CC7123" w14:textId="2CA68381" w:rsidR="00375ADF" w:rsidRDefault="00866730" w:rsidP="00B714BD">
      <w:pPr>
        <w:pStyle w:val="Liststycke"/>
        <w:numPr>
          <w:ilvl w:val="0"/>
          <w:numId w:val="37"/>
        </w:numPr>
      </w:pPr>
      <w:r w:rsidRPr="00B714BD">
        <w:rPr>
          <w:b/>
        </w:rPr>
        <w:t>Överlämning</w:t>
      </w:r>
      <w:r>
        <w:t xml:space="preserve">: </w:t>
      </w:r>
      <w:r w:rsidR="00DE05D5">
        <w:t xml:space="preserve">Arbetsgruppen har till uppgift att </w:t>
      </w:r>
      <w:r>
        <w:t xml:space="preserve">lämna över </w:t>
      </w:r>
      <w:r w:rsidR="00DE05D5">
        <w:t xml:space="preserve">en </w:t>
      </w:r>
      <w:r>
        <w:t xml:space="preserve">rekommendation </w:t>
      </w:r>
      <w:r w:rsidR="00DE05D5">
        <w:t>av</w:t>
      </w:r>
      <w:r>
        <w:t xml:space="preserve"> användning av en ny referensränta. </w:t>
      </w:r>
      <w:r w:rsidR="00DE05D5">
        <w:t>Arbetsgruppen ska vidare föreslå den/de</w:t>
      </w:r>
      <w:r>
        <w:t xml:space="preserve"> administratör</w:t>
      </w:r>
      <w:r w:rsidR="00DE05D5">
        <w:t>/-</w:t>
      </w:r>
      <w:r>
        <w:t xml:space="preserve">er som ska ansvara för den eller de nya räntorna. </w:t>
      </w:r>
      <w:r w:rsidR="004B3EAA">
        <w:t>I</w:t>
      </w:r>
      <w:r w:rsidR="00DE05D5">
        <w:t xml:space="preserve">nför ett </w:t>
      </w:r>
      <w:r w:rsidR="004B3EAA">
        <w:t xml:space="preserve">överlämnande ska </w:t>
      </w:r>
      <w:r w:rsidR="00DE05D5">
        <w:t>också</w:t>
      </w:r>
      <w:r w:rsidR="004B3EAA">
        <w:t xml:space="preserve"> ett </w:t>
      </w:r>
      <w:r w:rsidR="00EA277A">
        <w:t xml:space="preserve">genomarbetat regelverk </w:t>
      </w:r>
      <w:r w:rsidR="00DE05D5">
        <w:t xml:space="preserve">tas fram, vilket beskriver </w:t>
      </w:r>
      <w:r w:rsidR="00EA277A">
        <w:t xml:space="preserve">hur </w:t>
      </w:r>
      <w:r w:rsidR="00B714BD">
        <w:t>fastställandet av räntan</w:t>
      </w:r>
      <w:r w:rsidR="00EA277A">
        <w:t xml:space="preserve"> ska gå till, hur felhantering ska sköta</w:t>
      </w:r>
      <w:r w:rsidR="00B170BC">
        <w:t>s</w:t>
      </w:r>
      <w:r w:rsidR="00DE05D5">
        <w:t xml:space="preserve">, med mer. </w:t>
      </w:r>
      <w:r w:rsidR="00EA277A">
        <w:t xml:space="preserve">I samarbete med administratören </w:t>
      </w:r>
      <w:r w:rsidR="001F1A97">
        <w:t xml:space="preserve">av den nya räntan </w:t>
      </w:r>
      <w:r w:rsidR="00EA277A">
        <w:t xml:space="preserve">måste </w:t>
      </w:r>
      <w:r w:rsidR="00DE05D5">
        <w:t>ytterli</w:t>
      </w:r>
      <w:r w:rsidR="00B70823">
        <w:t>g</w:t>
      </w:r>
      <w:r w:rsidR="00DE05D5">
        <w:t xml:space="preserve">are </w:t>
      </w:r>
      <w:r w:rsidR="00EA277A">
        <w:t>rutiner</w:t>
      </w:r>
      <w:r w:rsidR="00DE05D5">
        <w:t xml:space="preserve"> utvecklas, vilka </w:t>
      </w:r>
      <w:r w:rsidR="00EA277A">
        <w:t xml:space="preserve">stämmer överens med </w:t>
      </w:r>
      <w:proofErr w:type="gramStart"/>
      <w:r w:rsidR="00EA277A">
        <w:t>IOSCOs</w:t>
      </w:r>
      <w:proofErr w:type="gramEnd"/>
      <w:r w:rsidR="00EA277A">
        <w:t xml:space="preserve"> principer för benchmarks. </w:t>
      </w:r>
      <w:r w:rsidR="00DC1BFC">
        <w:t xml:space="preserve">Arbetsgruppen ska också skriva en slutrapport inför överlämningen. </w:t>
      </w:r>
      <w:r>
        <w:t xml:space="preserve"> </w:t>
      </w:r>
    </w:p>
    <w:p w14:paraId="01CA85E1" w14:textId="356BF1BF" w:rsidR="004346BF" w:rsidRDefault="00151A2D" w:rsidP="00151A2D">
      <w:pPr>
        <w:pStyle w:val="Rubrik1"/>
      </w:pPr>
      <w:bookmarkStart w:id="8" w:name="_Toc5118744"/>
      <w:r>
        <w:t>2. Den transaktionsbaserade räntan</w:t>
      </w:r>
      <w:bookmarkEnd w:id="8"/>
    </w:p>
    <w:p w14:paraId="0925F79E" w14:textId="5872C14D" w:rsidR="00D24A61" w:rsidRPr="00D24A61" w:rsidRDefault="00D24A61" w:rsidP="00D24A61">
      <w:pPr>
        <w:pStyle w:val="Rubrik2"/>
      </w:pPr>
      <w:bookmarkStart w:id="9" w:name="_Toc5118745"/>
      <w:r>
        <w:t>2.1. Bakgrund</w:t>
      </w:r>
      <w:bookmarkEnd w:id="9"/>
    </w:p>
    <w:p w14:paraId="2B4CD9A5" w14:textId="44B63998" w:rsidR="007663C5" w:rsidRDefault="009D73FB" w:rsidP="00A5756B">
      <w:r>
        <w:t xml:space="preserve">Arbetsgruppen strävar efter att ta fram en alternativ referensränta som ska vara jämförbar med </w:t>
      </w:r>
      <w:r w:rsidR="007663C5">
        <w:t xml:space="preserve">den referensränta som </w:t>
      </w:r>
      <w:r>
        <w:t>andra länder redan har tagit fram</w:t>
      </w:r>
      <w:r w:rsidR="007663C5">
        <w:t xml:space="preserve">. </w:t>
      </w:r>
    </w:p>
    <w:p w14:paraId="1D99D353" w14:textId="4219FA1D" w:rsidR="009D73FB" w:rsidRDefault="007663C5" w:rsidP="00A5756B">
      <w:r>
        <w:t>Olika länder har arbetat fram olika korta alternativa referensräntor. D</w:t>
      </w:r>
      <w:r w:rsidR="009D73FB">
        <w:t xml:space="preserve">et </w:t>
      </w:r>
      <w:r>
        <w:t xml:space="preserve">är därför oklart hur den svenska korta alternativa referensräntan bör </w:t>
      </w:r>
      <w:r w:rsidR="009D73FB">
        <w:t xml:space="preserve">definieras. </w:t>
      </w:r>
    </w:p>
    <w:p w14:paraId="6B342694" w14:textId="77777777" w:rsidR="009D73FB" w:rsidRDefault="009D73FB" w:rsidP="00A5756B"/>
    <w:p w14:paraId="7CEEBCED" w14:textId="0262954D" w:rsidR="007663C5" w:rsidRDefault="007663C5" w:rsidP="00A5756B">
      <w:r>
        <w:t xml:space="preserve">Med hänvisning till arbetets ursprung är det </w:t>
      </w:r>
      <w:r w:rsidR="009D73FB">
        <w:t xml:space="preserve">eftersträvansvärt att få fram en ränta som inte kan manipuleras och som innehåller ett minimum av </w:t>
      </w:r>
      <w:r>
        <w:t xml:space="preserve">så kallade </w:t>
      </w:r>
      <w:r w:rsidR="009D73FB">
        <w:t xml:space="preserve">skönsmässiga bedömningar. </w:t>
      </w:r>
      <w:r>
        <w:t xml:space="preserve">Ett flertal länder har därför </w:t>
      </w:r>
      <w:r w:rsidR="009D73FB">
        <w:t xml:space="preserve">tagit fram en </w:t>
      </w:r>
      <w:r w:rsidR="001F1A97">
        <w:t>O/N-</w:t>
      </w:r>
      <w:r w:rsidR="009D73FB">
        <w:t xml:space="preserve">ränta baserad på transaktioner </w:t>
      </w:r>
      <w:r>
        <w:t xml:space="preserve">vilka har </w:t>
      </w:r>
      <w:r w:rsidR="009D73FB">
        <w:t>skett inom den finansiella sektorn</w:t>
      </w:r>
      <w:r w:rsidR="00866730">
        <w:t xml:space="preserve">. </w:t>
      </w:r>
    </w:p>
    <w:p w14:paraId="0D93C3C1" w14:textId="77777777" w:rsidR="008030D5" w:rsidRDefault="008030D5" w:rsidP="00A5756B"/>
    <w:p w14:paraId="75F052DC" w14:textId="0986A5D0" w:rsidR="007663C5" w:rsidRDefault="007663C5" w:rsidP="00A5756B">
      <w:r>
        <w:t xml:space="preserve">En stor skillnad mellan nu framtagna alternativa referensräntor är </w:t>
      </w:r>
      <w:r w:rsidR="00866730">
        <w:t xml:space="preserve">att man i vissa länder </w:t>
      </w:r>
      <w:r>
        <w:t xml:space="preserve">har </w:t>
      </w:r>
      <w:r w:rsidR="00866730">
        <w:t xml:space="preserve">valt att använda transaktioner </w:t>
      </w:r>
      <w:r>
        <w:t xml:space="preserve">vilka </w:t>
      </w:r>
      <w:r w:rsidR="00866730">
        <w:t>sker i repomarknaden</w:t>
      </w:r>
      <w:r>
        <w:t xml:space="preserve">, det vill säga </w:t>
      </w:r>
      <w:r w:rsidR="00F2786F">
        <w:lastRenderedPageBreak/>
        <w:t>säkrade transaktioner</w:t>
      </w:r>
      <w:r>
        <w:t>,</w:t>
      </w:r>
      <w:r w:rsidR="00F2786F">
        <w:t xml:space="preserve"> </w:t>
      </w:r>
      <w:r w:rsidR="00866730">
        <w:t xml:space="preserve">medan andra länder valt att använda transaktioner som handlar om bankers </w:t>
      </w:r>
      <w:r w:rsidR="00077465">
        <w:t xml:space="preserve">osäkrade </w:t>
      </w:r>
      <w:r w:rsidR="00866730">
        <w:t xml:space="preserve">upplåning över natten. </w:t>
      </w:r>
    </w:p>
    <w:p w14:paraId="21E0FD34" w14:textId="77777777" w:rsidR="00B70823" w:rsidRDefault="00B70823" w:rsidP="00A5756B"/>
    <w:p w14:paraId="62EDBBBA" w14:textId="5C570AFD" w:rsidR="00D24A61" w:rsidRDefault="00866730" w:rsidP="00A5756B">
      <w:r>
        <w:t xml:space="preserve">Under lång tid har den internationella finansmarknaden </w:t>
      </w:r>
      <w:r w:rsidR="007663C5">
        <w:t xml:space="preserve">kunnat </w:t>
      </w:r>
      <w:r>
        <w:t xml:space="preserve">hantera interbankräntor </w:t>
      </w:r>
      <w:r w:rsidR="007663C5">
        <w:t xml:space="preserve">vilka </w:t>
      </w:r>
      <w:r>
        <w:t>har definierats på olika sätt</w:t>
      </w:r>
      <w:r w:rsidR="007663C5">
        <w:t>,</w:t>
      </w:r>
      <w:r>
        <w:t xml:space="preserve"> utan att det</w:t>
      </w:r>
      <w:r w:rsidR="007663C5">
        <w:t>ta</w:t>
      </w:r>
      <w:r>
        <w:t xml:space="preserve"> har </w:t>
      </w:r>
      <w:r w:rsidR="007663C5">
        <w:t xml:space="preserve">orsakat några </w:t>
      </w:r>
      <w:r>
        <w:t xml:space="preserve">problem. </w:t>
      </w:r>
      <w:r w:rsidR="007663C5">
        <w:t xml:space="preserve">Det bör därför kunna fungera att </w:t>
      </w:r>
      <w:r w:rsidR="00D24A61">
        <w:t>RFR-</w:t>
      </w:r>
      <w:r>
        <w:t>räntorna</w:t>
      </w:r>
      <w:r w:rsidR="007663C5">
        <w:t>s definition</w:t>
      </w:r>
      <w:r>
        <w:t xml:space="preserve"> </w:t>
      </w:r>
      <w:r w:rsidR="00D24A61">
        <w:t>varierar något</w:t>
      </w:r>
      <w:r w:rsidR="007663C5">
        <w:t xml:space="preserve">. </w:t>
      </w:r>
    </w:p>
    <w:p w14:paraId="481FD57D" w14:textId="77777777" w:rsidR="007663C5" w:rsidRDefault="007663C5" w:rsidP="00A5756B"/>
    <w:p w14:paraId="7ABA7A24" w14:textId="1B0650D0" w:rsidR="00E26826" w:rsidRDefault="000F7C5F" w:rsidP="00A5756B">
      <w:r>
        <w:t xml:space="preserve">Myndigheterna begär att </w:t>
      </w:r>
      <w:r w:rsidR="00E26826">
        <w:t xml:space="preserve">räntan ska tas fram utifrån en likvid marknad </w:t>
      </w:r>
      <w:r w:rsidR="00F2786F">
        <w:t xml:space="preserve">(se nedan) </w:t>
      </w:r>
      <w:r w:rsidR="00A94D66">
        <w:t xml:space="preserve">vilket skulle </w:t>
      </w:r>
      <w:r w:rsidR="00E26826">
        <w:t xml:space="preserve">minska möjligheten för manipulation. </w:t>
      </w:r>
      <w:r w:rsidR="00A94D66">
        <w:t xml:space="preserve">Räntan får ej inneha inslag </w:t>
      </w:r>
      <w:r w:rsidR="00E26826">
        <w:t xml:space="preserve">av skönsmässiga bedömningar. </w:t>
      </w:r>
    </w:p>
    <w:p w14:paraId="2887183D" w14:textId="61B9AE48" w:rsidR="00E26826" w:rsidRDefault="00E26826" w:rsidP="00A5756B"/>
    <w:p w14:paraId="2B5FDCFE" w14:textId="0A9FF30D" w:rsidR="00E26826" w:rsidRDefault="00E26826" w:rsidP="00A5756B">
      <w:r>
        <w:t xml:space="preserve">Dagens Stibor är en </w:t>
      </w:r>
      <w:r w:rsidR="005069BB">
        <w:t>åter</w:t>
      </w:r>
      <w:r>
        <w:t xml:space="preserve">spegling av underliggande </w:t>
      </w:r>
      <w:r w:rsidR="005069BB">
        <w:t>inter</w:t>
      </w:r>
      <w:r>
        <w:t xml:space="preserve">bankmarknad och är en utlåningsränta. </w:t>
      </w:r>
      <w:r w:rsidR="00B93AB0">
        <w:t>Det finns</w:t>
      </w:r>
      <w:r w:rsidR="00333F16">
        <w:t xml:space="preserve"> dock</w:t>
      </w:r>
      <w:r w:rsidR="00B93AB0">
        <w:t xml:space="preserve"> inga krav på att en ny referensränta ska spegla en interbankmarknad eller att den ska resultera i en utlåningsränta. I andra länder har det varit </w:t>
      </w:r>
      <w:r w:rsidR="001D338C">
        <w:t xml:space="preserve">vanligt att en kort, transaktionsbaserad referensränta </w:t>
      </w:r>
      <w:r w:rsidR="00B93AB0">
        <w:t xml:space="preserve">ska spegla </w:t>
      </w:r>
      <w:r w:rsidR="001D338C">
        <w:t>vad bankerna finansierar sig till</w:t>
      </w:r>
      <w:r w:rsidR="00255D6D">
        <w:t>, alltså en inlåningsränta</w:t>
      </w:r>
      <w:r w:rsidR="001D338C">
        <w:t xml:space="preserve">. Exempel på detta är den nya </w:t>
      </w:r>
      <w:proofErr w:type="gramStart"/>
      <w:r w:rsidR="001D338C">
        <w:t>Ester</w:t>
      </w:r>
      <w:proofErr w:type="gramEnd"/>
      <w:r w:rsidR="001D338C">
        <w:t xml:space="preserve"> i Euroland och Sonia i Storbritannien. </w:t>
      </w:r>
    </w:p>
    <w:p w14:paraId="69B9ADAA" w14:textId="1348325F" w:rsidR="00E26826" w:rsidRDefault="00E26826" w:rsidP="00A5756B"/>
    <w:p w14:paraId="53C1114B" w14:textId="64204E79" w:rsidR="00E26826" w:rsidRDefault="00E26826" w:rsidP="00A5756B">
      <w:r>
        <w:t>Det finns inte några formella krav som säger att räntan ska vara stabil eller att den ska korrelera</w:t>
      </w:r>
      <w:r w:rsidR="00333F16">
        <w:t xml:space="preserve"> med</w:t>
      </w:r>
      <w:r>
        <w:t xml:space="preserve"> någon annan ränta. Eftersom det har utvecklats en standard i marknaden att dessa nya RFR är mycket korta, O/N är den löptid som hittills har använts, är det trolig</w:t>
      </w:r>
      <w:r w:rsidR="00255D6D">
        <w:t xml:space="preserve">t </w:t>
      </w:r>
      <w:r>
        <w:t xml:space="preserve">att räntan förväntas samvariera med </w:t>
      </w:r>
      <w:r w:rsidR="00EC6D26">
        <w:t xml:space="preserve">de penningpolitiska styrräntor som används. </w:t>
      </w:r>
    </w:p>
    <w:p w14:paraId="58DA5563" w14:textId="4B0A984C" w:rsidR="00F37898" w:rsidRDefault="00F37898" w:rsidP="00A5756B"/>
    <w:p w14:paraId="49923FEA" w14:textId="2C181393" w:rsidR="00333F16" w:rsidRDefault="00F37898" w:rsidP="00A5756B">
      <w:r>
        <w:t xml:space="preserve">En diskussion som förekommit internationellt är om det går att säga att räntan baseras på en marknad som är tillräckligt likvid. I USA har man </w:t>
      </w:r>
      <w:r w:rsidR="00246D86">
        <w:t xml:space="preserve">fokuserat </w:t>
      </w:r>
      <w:r>
        <w:t xml:space="preserve">på detta </w:t>
      </w:r>
      <w:r w:rsidR="00333F16">
        <w:t>i valet av</w:t>
      </w:r>
      <w:r>
        <w:t xml:space="preserve"> </w:t>
      </w:r>
      <w:proofErr w:type="spellStart"/>
      <w:r>
        <w:t>Sofr</w:t>
      </w:r>
      <w:proofErr w:type="spellEnd"/>
      <w:r>
        <w:t xml:space="preserve"> som RFR. Det är en ränta som baseras på transaktioner i tre repomarknader </w:t>
      </w:r>
      <w:r w:rsidR="00333F16">
        <w:t xml:space="preserve">vilka </w:t>
      </w:r>
      <w:r>
        <w:t xml:space="preserve">sammantaget har en dagsomsättning på över USD 800 </w:t>
      </w:r>
      <w:proofErr w:type="spellStart"/>
      <w:r>
        <w:t>md.</w:t>
      </w:r>
      <w:proofErr w:type="spellEnd"/>
      <w:r w:rsidR="00B714BD">
        <w:t xml:space="preserve"> </w:t>
      </w:r>
      <w:r w:rsidR="000C5DC1">
        <w:t xml:space="preserve">Eonia ifrågasätts bland annat för att </w:t>
      </w:r>
      <w:r w:rsidR="00333F16">
        <w:t xml:space="preserve">räntan </w:t>
      </w:r>
      <w:r w:rsidR="000C5DC1">
        <w:t>baseras på en för liten transaktionsvolym</w:t>
      </w:r>
      <w:r w:rsidR="00333F16">
        <w:t xml:space="preserve">, om </w:t>
      </w:r>
      <w:r w:rsidR="000C5DC1">
        <w:t xml:space="preserve">cirka EUR 4 </w:t>
      </w:r>
      <w:proofErr w:type="spellStart"/>
      <w:r w:rsidR="000C5DC1">
        <w:t>md</w:t>
      </w:r>
      <w:r w:rsidR="00333F16">
        <w:t>.</w:t>
      </w:r>
      <w:proofErr w:type="spellEnd"/>
      <w:r w:rsidR="00333F16">
        <w:t xml:space="preserve"> </w:t>
      </w:r>
      <w:proofErr w:type="spellStart"/>
      <w:r w:rsidR="00333F16">
        <w:t>Eonias</w:t>
      </w:r>
      <w:proofErr w:type="spellEnd"/>
      <w:r w:rsidR="00333F16">
        <w:t xml:space="preserve"> </w:t>
      </w:r>
      <w:r w:rsidR="00375ADF">
        <w:t>ersättare</w:t>
      </w:r>
      <w:r w:rsidR="00333F16">
        <w:t xml:space="preserve"> </w:t>
      </w:r>
      <w:proofErr w:type="gramStart"/>
      <w:r w:rsidR="00375ADF">
        <w:t>Ester</w:t>
      </w:r>
      <w:proofErr w:type="gramEnd"/>
      <w:r w:rsidR="00333F16">
        <w:t xml:space="preserve"> </w:t>
      </w:r>
      <w:r w:rsidR="00375ADF">
        <w:t xml:space="preserve">baseras på en daglig omsättning om EUR 30 </w:t>
      </w:r>
      <w:proofErr w:type="spellStart"/>
      <w:r w:rsidR="00375ADF">
        <w:t>md</w:t>
      </w:r>
      <w:r w:rsidR="000C5DC1">
        <w:t>.</w:t>
      </w:r>
      <w:proofErr w:type="spellEnd"/>
      <w:r w:rsidR="000C5DC1">
        <w:t xml:space="preserve"> I Sverige kommer det vara svårt att få fram volymer som är jämförbara</w:t>
      </w:r>
      <w:r w:rsidR="00375ADF">
        <w:t xml:space="preserve"> med de stora valutaområdena. Syftet med att basera räntan på en likvid marknad är att det skulle minska möjligheten att manipulera räntan. Det har därför varit viktigt att försöka få fram ett så stort underlag som möjligt i</w:t>
      </w:r>
      <w:r w:rsidR="00333F16">
        <w:t xml:space="preserve"> Sverige. </w:t>
      </w:r>
    </w:p>
    <w:p w14:paraId="2B8ACEDA" w14:textId="072E5D70" w:rsidR="001D338C" w:rsidRDefault="001D338C" w:rsidP="00A5756B"/>
    <w:p w14:paraId="7C594FFF" w14:textId="6A44FAE0" w:rsidR="009C096E" w:rsidRDefault="001D338C" w:rsidP="00A5756B">
      <w:r>
        <w:t>Det finns</w:t>
      </w:r>
      <w:r w:rsidR="00255D6D">
        <w:t xml:space="preserve"> idag</w:t>
      </w:r>
      <w:r>
        <w:t xml:space="preserve"> ingen </w:t>
      </w:r>
      <w:r w:rsidR="00333F16">
        <w:t>självklar alternativ referens</w:t>
      </w:r>
      <w:r>
        <w:t>ränta i Sverige. För i princip alla typer av finansiella instrument som behöver någon form av kort referensränta används Stibor.</w:t>
      </w:r>
      <w:r w:rsidR="00333F16">
        <w:t xml:space="preserve"> </w:t>
      </w:r>
      <w:r w:rsidR="001B49D9">
        <w:t xml:space="preserve">I många andra länder har det funnits alternativa räntor som </w:t>
      </w:r>
      <w:r w:rsidR="00255D6D">
        <w:t xml:space="preserve">ansetts vara möjliga att </w:t>
      </w:r>
      <w:r w:rsidR="001B49D9">
        <w:t>använ</w:t>
      </w:r>
      <w:r w:rsidR="00255D6D">
        <w:t>da</w:t>
      </w:r>
      <w:r w:rsidR="00333F16">
        <w:t xml:space="preserve">, eventuellt </w:t>
      </w:r>
      <w:r w:rsidR="00255D6D">
        <w:t>med smärre justeringar</w:t>
      </w:r>
      <w:r w:rsidR="001B49D9">
        <w:t xml:space="preserve">. Exempel på detta är Sonia i UK. </w:t>
      </w:r>
    </w:p>
    <w:p w14:paraId="082C62F5" w14:textId="73594BAC" w:rsidR="00151A2D" w:rsidRDefault="00151A2D" w:rsidP="00151A2D">
      <w:pPr>
        <w:pStyle w:val="Rubrik2"/>
      </w:pPr>
      <w:bookmarkStart w:id="10" w:name="_Toc5118746"/>
      <w:r>
        <w:lastRenderedPageBreak/>
        <w:t>2.</w:t>
      </w:r>
      <w:r w:rsidR="00D24A61">
        <w:t>2</w:t>
      </w:r>
      <w:r>
        <w:t>. Beskrivning av historisk</w:t>
      </w:r>
      <w:r w:rsidR="00447842">
        <w:t>a</w:t>
      </w:r>
      <w:r>
        <w:t xml:space="preserve"> transaktionsdata</w:t>
      </w:r>
      <w:bookmarkEnd w:id="10"/>
    </w:p>
    <w:p w14:paraId="5F94146C" w14:textId="32913B09" w:rsidR="001B49D9" w:rsidRDefault="008A6094" w:rsidP="00A5756B">
      <w:r>
        <w:t xml:space="preserve">Arbetsgruppen har </w:t>
      </w:r>
      <w:r w:rsidR="00255D6D">
        <w:t>samla</w:t>
      </w:r>
      <w:r w:rsidR="00231F2A">
        <w:t>t</w:t>
      </w:r>
      <w:r w:rsidR="00255D6D">
        <w:t xml:space="preserve"> in information om</w:t>
      </w:r>
      <w:r w:rsidR="001B49D9">
        <w:t xml:space="preserve"> historiska transaktioner </w:t>
      </w:r>
      <w:r>
        <w:t xml:space="preserve">inom Stiborbankerna, </w:t>
      </w:r>
      <w:r w:rsidR="00255D6D">
        <w:t xml:space="preserve">för </w:t>
      </w:r>
      <w:r w:rsidR="001B49D9">
        <w:t xml:space="preserve">att </w:t>
      </w:r>
      <w:r>
        <w:t xml:space="preserve">utifrån dessa transaktioner </w:t>
      </w:r>
      <w:r w:rsidR="00255D6D">
        <w:t xml:space="preserve">identifiera </w:t>
      </w:r>
      <w:r>
        <w:t xml:space="preserve">möjligheten för </w:t>
      </w:r>
      <w:r w:rsidR="001B49D9">
        <w:t xml:space="preserve">potentiella räntor. Riksbanken tog emot och sammanställde informationen. </w:t>
      </w:r>
    </w:p>
    <w:p w14:paraId="120FF481" w14:textId="77777777" w:rsidR="001B49D9" w:rsidRDefault="001B49D9" w:rsidP="00A5756B"/>
    <w:p w14:paraId="2912064A" w14:textId="7AC73FC0" w:rsidR="002A5DAB" w:rsidRDefault="001B49D9" w:rsidP="00255D6D">
      <w:pPr>
        <w:spacing w:after="160" w:line="259" w:lineRule="auto"/>
      </w:pPr>
      <w:r>
        <w:t xml:space="preserve">Eftersom Sverige har en tradition </w:t>
      </w:r>
      <w:r w:rsidR="00231F2A">
        <w:t>av</w:t>
      </w:r>
      <w:r>
        <w:t xml:space="preserve"> att använda T/N </w:t>
      </w:r>
      <w:r w:rsidR="00231F2A">
        <w:t xml:space="preserve">samlades både </w:t>
      </w:r>
      <w:r>
        <w:t>T/N-transaktioner och O/N-transaktioner</w:t>
      </w:r>
      <w:r w:rsidR="00231F2A">
        <w:t xml:space="preserve"> in</w:t>
      </w:r>
      <w:r>
        <w:t xml:space="preserve">. </w:t>
      </w:r>
      <w:r w:rsidR="00F37898">
        <w:t xml:space="preserve">Det samlades även in information om tremånaderstransaktioner, vilket inte visade sig vara en framkomlig väg. </w:t>
      </w:r>
      <w:r>
        <w:t xml:space="preserve">Eftersom det inte finns någon enhetlighet om repor eller ej säkerställda transaktioner ska ligga till grund samlades </w:t>
      </w:r>
      <w:r w:rsidR="00C140E7">
        <w:t>båda</w:t>
      </w:r>
      <w:r>
        <w:t xml:space="preserve"> typerna in.</w:t>
      </w:r>
      <w:r w:rsidR="002A5DAB">
        <w:t xml:space="preserve"> När det gäller reporna bestämdes även att det skulle specificeras vad det var för använd säkerhet som använts. Detta preciserades till statsobligation, säkerställd obligation eller ”okänd eller annat”.</w:t>
      </w:r>
      <w:r>
        <w:t xml:space="preserve"> Likaså ansågs det viktigt att samla in transaktioner som </w:t>
      </w:r>
      <w:r w:rsidR="008A6094">
        <w:t>resulterat i både</w:t>
      </w:r>
      <w:r>
        <w:t xml:space="preserve"> in- </w:t>
      </w:r>
      <w:r w:rsidR="008A6094">
        <w:t xml:space="preserve">och </w:t>
      </w:r>
      <w:r>
        <w:t xml:space="preserve">utlåning hos de rapporterande bankerna. </w:t>
      </w:r>
      <w:r w:rsidR="008A6094">
        <w:t>F</w:t>
      </w:r>
      <w:r w:rsidR="002A5DAB">
        <w:t xml:space="preserve">em olika typer av potentiella motparter </w:t>
      </w:r>
      <w:r w:rsidR="008A6094">
        <w:t xml:space="preserve">togs </w:t>
      </w:r>
      <w:r w:rsidR="002A5DAB">
        <w:t xml:space="preserve">med i undersökningen. Följande motparter användes: </w:t>
      </w:r>
    </w:p>
    <w:p w14:paraId="3387FAC2" w14:textId="77777777" w:rsidR="002A5DAB" w:rsidRDefault="002A5DAB" w:rsidP="00255D6D">
      <w:pPr>
        <w:pStyle w:val="Liststycke"/>
        <w:numPr>
          <w:ilvl w:val="1"/>
          <w:numId w:val="32"/>
        </w:numPr>
        <w:spacing w:after="160" w:line="259" w:lineRule="auto"/>
        <w:ind w:left="1080"/>
      </w:pPr>
      <w:r>
        <w:t>Banker</w:t>
      </w:r>
    </w:p>
    <w:p w14:paraId="02ABAEF6" w14:textId="77777777" w:rsidR="002A5DAB" w:rsidRDefault="002A5DAB" w:rsidP="00255D6D">
      <w:pPr>
        <w:pStyle w:val="Liststycke"/>
        <w:numPr>
          <w:ilvl w:val="1"/>
          <w:numId w:val="32"/>
        </w:numPr>
        <w:spacing w:after="160" w:line="259" w:lineRule="auto"/>
        <w:ind w:left="1080"/>
      </w:pPr>
      <w:r>
        <w:t xml:space="preserve">Centralbanker </w:t>
      </w:r>
    </w:p>
    <w:p w14:paraId="0F63B59D" w14:textId="77777777" w:rsidR="002A5DAB" w:rsidRDefault="002A5DAB" w:rsidP="00255D6D">
      <w:pPr>
        <w:pStyle w:val="Liststycke"/>
        <w:numPr>
          <w:ilvl w:val="1"/>
          <w:numId w:val="32"/>
        </w:numPr>
        <w:spacing w:after="160" w:line="259" w:lineRule="auto"/>
        <w:ind w:left="1080"/>
      </w:pPr>
      <w:r>
        <w:t>Riksgälden</w:t>
      </w:r>
    </w:p>
    <w:p w14:paraId="7F3AFBE2" w14:textId="024DAA27" w:rsidR="002A5DAB" w:rsidRDefault="002A5DAB" w:rsidP="00255D6D">
      <w:pPr>
        <w:pStyle w:val="Liststycke"/>
        <w:numPr>
          <w:ilvl w:val="1"/>
          <w:numId w:val="32"/>
        </w:numPr>
        <w:spacing w:after="160" w:line="259" w:lineRule="auto"/>
        <w:ind w:left="1080"/>
      </w:pPr>
      <w:r>
        <w:t xml:space="preserve">Övriga finansiella institut </w:t>
      </w:r>
    </w:p>
    <w:p w14:paraId="14DE189F" w14:textId="77777777" w:rsidR="002A5DAB" w:rsidRDefault="002A5DAB" w:rsidP="00255D6D">
      <w:pPr>
        <w:pStyle w:val="Liststycke"/>
        <w:numPr>
          <w:ilvl w:val="1"/>
          <w:numId w:val="32"/>
        </w:numPr>
        <w:spacing w:after="160" w:line="259" w:lineRule="auto"/>
        <w:ind w:left="1080"/>
      </w:pPr>
      <w:r>
        <w:t>Icke finansiella institut</w:t>
      </w:r>
    </w:p>
    <w:p w14:paraId="29DD072E" w14:textId="58208238" w:rsidR="00151A2D" w:rsidRDefault="002A5DAB" w:rsidP="00A5756B">
      <w:r>
        <w:t xml:space="preserve">Dessutom </w:t>
      </w:r>
      <w:r w:rsidR="008A6094">
        <w:t>inkluderades</w:t>
      </w:r>
      <w:r>
        <w:t xml:space="preserve"> uppgifter om transaktionerna </w:t>
      </w:r>
      <w:r w:rsidR="008A6094">
        <w:t xml:space="preserve">clearats hos </w:t>
      </w:r>
      <w:r>
        <w:t>Nasdaq</w:t>
      </w:r>
      <w:r w:rsidR="008A6094">
        <w:t>, eller ej</w:t>
      </w:r>
      <w:r>
        <w:t xml:space="preserve">. För att undvika dubbelräkning togs uppgifter med om motparten var en Stiborbank, </w:t>
      </w:r>
      <w:r w:rsidR="00680203">
        <w:t>det vill säga</w:t>
      </w:r>
      <w:r>
        <w:t xml:space="preserve"> en annan </w:t>
      </w:r>
      <w:r w:rsidR="005D2DE1">
        <w:t xml:space="preserve">bank </w:t>
      </w:r>
      <w:r>
        <w:t xml:space="preserve">som också rapporterat in transaktioner. </w:t>
      </w:r>
      <w:r w:rsidR="00DD2AE7">
        <w:t xml:space="preserve">För att undvika dubblering har </w:t>
      </w:r>
      <w:r>
        <w:t>utlåningstransaktioner där motparten är Stiborbank</w:t>
      </w:r>
      <w:r w:rsidR="00DD2AE7">
        <w:t xml:space="preserve"> uteslutits</w:t>
      </w:r>
      <w:r>
        <w:t xml:space="preserve">. </w:t>
      </w:r>
    </w:p>
    <w:p w14:paraId="328925B3" w14:textId="52781819" w:rsidR="002A5DAB" w:rsidRDefault="002A5DAB" w:rsidP="00A5756B"/>
    <w:p w14:paraId="64414947" w14:textId="55F9923F" w:rsidR="002A5DAB" w:rsidRDefault="002A5DAB" w:rsidP="00A5756B">
      <w:r>
        <w:t>De insamlade transaktioner</w:t>
      </w:r>
      <w:r w:rsidR="005D2DE1">
        <w:t>na</w:t>
      </w:r>
      <w:r>
        <w:t xml:space="preserve"> avse</w:t>
      </w:r>
      <w:r w:rsidR="001F3E4A">
        <w:t>r</w:t>
      </w:r>
      <w:r>
        <w:t xml:space="preserve"> </w:t>
      </w:r>
      <w:r w:rsidR="00DD2AE7">
        <w:t xml:space="preserve">samtliga </w:t>
      </w:r>
      <w:r>
        <w:t xml:space="preserve">transaktioner som koncernerna har gjort med företag utanför </w:t>
      </w:r>
      <w:r w:rsidR="00DD2AE7">
        <w:t>bank</w:t>
      </w:r>
      <w:r>
        <w:t>koncernen. Räntan på transaktionerna avse</w:t>
      </w:r>
      <w:r w:rsidR="001F3E4A">
        <w:t>r</w:t>
      </w:r>
      <w:r>
        <w:t xml:space="preserve"> räntan som motparten möter. Räntan uttrycks som en årsränta med </w:t>
      </w:r>
      <w:proofErr w:type="spellStart"/>
      <w:r>
        <w:t>Act</w:t>
      </w:r>
      <w:proofErr w:type="spellEnd"/>
      <w:r>
        <w:t xml:space="preserve">/360 som räntekonvention. </w:t>
      </w:r>
    </w:p>
    <w:p w14:paraId="460073CB" w14:textId="1A6719B3" w:rsidR="002A5DAB" w:rsidRDefault="002A5DAB" w:rsidP="00A5756B"/>
    <w:p w14:paraId="0051B189" w14:textId="626C704C" w:rsidR="002A5DAB" w:rsidRDefault="002A5DAB" w:rsidP="00A5756B">
      <w:r>
        <w:t xml:space="preserve">Det insamlade materialet </w:t>
      </w:r>
      <w:r w:rsidR="00974702">
        <w:t xml:space="preserve">avser </w:t>
      </w:r>
      <w:r w:rsidR="006E7F90">
        <w:t xml:space="preserve">perioden från 2015-12-01 till 2018-12-31. Under denna period </w:t>
      </w:r>
      <w:r w:rsidR="00974702">
        <w:t>inföll</w:t>
      </w:r>
      <w:r w:rsidR="006E7F90">
        <w:t xml:space="preserve"> 774 handelsdagar. </w:t>
      </w:r>
      <w:r w:rsidR="005733AD">
        <w:t xml:space="preserve">Under perioden finns en sänkning av styrräntan (2016-02-17) från -0,35 till -0,5 procent. Dessutom ett beslut om en höjning av styrräntan (2018-12-20) från -0,50 till -0,25 procent, dock ingick inte själva höjningen i underlaget. </w:t>
      </w:r>
      <w:r w:rsidR="00B64014">
        <w:t xml:space="preserve">Under hela perioden bedrevs en exceptionell penningpolitik </w:t>
      </w:r>
      <w:r w:rsidR="005D2DE1">
        <w:t>vilket</w:t>
      </w:r>
      <w:r w:rsidR="00B64014">
        <w:t xml:space="preserve"> kan ses som en föränderlig faktor under perioden </w:t>
      </w:r>
      <w:r w:rsidR="00974702">
        <w:t>där</w:t>
      </w:r>
      <w:r w:rsidR="00B64014">
        <w:t xml:space="preserve"> Riksbankens balansräkning steg med 269 md </w:t>
      </w:r>
      <w:r w:rsidR="00974702">
        <w:t xml:space="preserve">kronor </w:t>
      </w:r>
      <w:r w:rsidR="00B64014">
        <w:t xml:space="preserve">eller 40 procent. </w:t>
      </w:r>
      <w:r w:rsidR="005733AD">
        <w:t>Under period</w:t>
      </w:r>
      <w:r w:rsidR="00974702">
        <w:t>en</w:t>
      </w:r>
      <w:r w:rsidR="005733AD">
        <w:t xml:space="preserve"> </w:t>
      </w:r>
      <w:r w:rsidR="00974702">
        <w:t>framkom inget utmärkande kring</w:t>
      </w:r>
      <w:r w:rsidR="005733AD">
        <w:t xml:space="preserve"> </w:t>
      </w:r>
      <w:r w:rsidR="00BF4F02">
        <w:t>Stiborbankerna</w:t>
      </w:r>
      <w:r w:rsidR="0056167C">
        <w:t xml:space="preserve">s kreditvärdighet, lönsamhet eller möjlighet att refinansiera sig i marknaden. </w:t>
      </w:r>
    </w:p>
    <w:p w14:paraId="454AD3D7" w14:textId="62ADB8F1" w:rsidR="006E7F90" w:rsidRDefault="006E7F90" w:rsidP="00A5756B"/>
    <w:p w14:paraId="3D9CED96" w14:textId="0427988A" w:rsidR="006E7F90" w:rsidRDefault="00974702" w:rsidP="00A5756B">
      <w:r>
        <w:t xml:space="preserve">Arbetsgruppen anser att </w:t>
      </w:r>
      <w:r w:rsidR="0069170E">
        <w:t xml:space="preserve">den transaktionsbaserade </w:t>
      </w:r>
      <w:r w:rsidR="006E7F90">
        <w:t xml:space="preserve">räntan </w:t>
      </w:r>
      <w:r>
        <w:t xml:space="preserve">bör </w:t>
      </w:r>
      <w:r w:rsidR="006E7F90">
        <w:t xml:space="preserve">vara en ränta </w:t>
      </w:r>
      <w:r>
        <w:t>vil</w:t>
      </w:r>
      <w:r w:rsidR="004A53AD">
        <w:t>k</w:t>
      </w:r>
      <w:r>
        <w:t xml:space="preserve">en </w:t>
      </w:r>
      <w:r w:rsidR="006E7F90">
        <w:t xml:space="preserve">avspeglar marknadsprissättning. Därför </w:t>
      </w:r>
      <w:r>
        <w:t xml:space="preserve">har </w:t>
      </w:r>
      <w:r w:rsidR="006E7F90">
        <w:t xml:space="preserve">transaktioner med Riksbanken </w:t>
      </w:r>
      <w:r>
        <w:t xml:space="preserve">vilka </w:t>
      </w:r>
      <w:r w:rsidR="006E7F90">
        <w:t xml:space="preserve">är </w:t>
      </w:r>
      <w:r w:rsidR="006E7F90">
        <w:lastRenderedPageBreak/>
        <w:t>räntesatta med hjälp av en tariff</w:t>
      </w:r>
      <w:r w:rsidR="0056167C">
        <w:t xml:space="preserve"> från underlaget</w:t>
      </w:r>
      <w:r>
        <w:t xml:space="preserve">, liksom </w:t>
      </w:r>
      <w:r w:rsidR="006E7F90">
        <w:t>repor med statsobligationer</w:t>
      </w:r>
      <w:r>
        <w:t xml:space="preserve"> uteslutits</w:t>
      </w:r>
      <w:r w:rsidR="004A53AD">
        <w:t>.</w:t>
      </w:r>
      <w:r w:rsidR="006E7F90">
        <w:t xml:space="preserve"> </w:t>
      </w:r>
    </w:p>
    <w:p w14:paraId="02E4707F" w14:textId="7FAD9BDD" w:rsidR="006E7F90" w:rsidRDefault="006E7F90" w:rsidP="00A5756B"/>
    <w:p w14:paraId="77B7A42F" w14:textId="7C0B4915" w:rsidR="0056167C" w:rsidRDefault="004A53AD" w:rsidP="00A5756B">
      <w:r>
        <w:t xml:space="preserve">Samtliga </w:t>
      </w:r>
      <w:r w:rsidR="006E7F90">
        <w:t xml:space="preserve">inrapporterade transaktioner har sammanställts till </w:t>
      </w:r>
      <w:r w:rsidR="00D972E1">
        <w:t>fixing</w:t>
      </w:r>
      <w:r w:rsidR="006E7F90">
        <w:t xml:space="preserve"> per da</w:t>
      </w:r>
      <w:r w:rsidR="004F1140">
        <w:t>g</w:t>
      </w:r>
      <w:r w:rsidR="006E7F90">
        <w:t>.</w:t>
      </w:r>
      <w:r w:rsidR="004F1140">
        <w:t xml:space="preserve"> </w:t>
      </w:r>
      <w:r w:rsidR="00E35FFF">
        <w:t xml:space="preserve">I </w:t>
      </w:r>
      <w:r w:rsidR="004F1140">
        <w:t xml:space="preserve">denna analysfas har inte </w:t>
      </w:r>
      <w:r w:rsidR="00E35FFF">
        <w:t>fokus legat</w:t>
      </w:r>
      <w:r w:rsidR="004F1140">
        <w:t xml:space="preserve"> på att precisera en adekvat metod</w:t>
      </w:r>
      <w:r w:rsidR="0027795F">
        <w:t xml:space="preserve"> för </w:t>
      </w:r>
      <w:r w:rsidR="00D972E1">
        <w:t>fixingen</w:t>
      </w:r>
      <w:r w:rsidR="0027795F">
        <w:t xml:space="preserve"> av räntan</w:t>
      </w:r>
      <w:r w:rsidR="004F1140">
        <w:t>. De</w:t>
      </w:r>
      <w:r w:rsidR="00E35FFF">
        <w:t>n</w:t>
      </w:r>
      <w:r w:rsidR="004F1140">
        <w:t xml:space="preserve"> enda </w:t>
      </w:r>
      <w:r w:rsidR="00E35FFF">
        <w:t xml:space="preserve">regel </w:t>
      </w:r>
      <w:r w:rsidR="004F1140">
        <w:t xml:space="preserve">som har </w:t>
      </w:r>
      <w:r w:rsidR="00E35FFF">
        <w:t>tillämpats</w:t>
      </w:r>
      <w:r w:rsidR="004F1140">
        <w:t xml:space="preserve"> </w:t>
      </w:r>
      <w:r w:rsidR="00F85C00">
        <w:t xml:space="preserve">är att en dags ränta ska beräknas som ett </w:t>
      </w:r>
      <w:proofErr w:type="spellStart"/>
      <w:r w:rsidR="00F85C00">
        <w:t>volymviktat</w:t>
      </w:r>
      <w:proofErr w:type="spellEnd"/>
      <w:r w:rsidR="00F85C00">
        <w:t xml:space="preserve"> snitt av de transaktioner som </w:t>
      </w:r>
      <w:r w:rsidR="005D2DE1">
        <w:t xml:space="preserve">har </w:t>
      </w:r>
      <w:r w:rsidR="00F85C00">
        <w:t>gjorts</w:t>
      </w:r>
      <w:r w:rsidR="006E7F90">
        <w:t xml:space="preserve"> </w:t>
      </w:r>
      <w:r w:rsidR="00F85C00">
        <w:t>samma dag. Analyser har även gjorts på utfallet av att ta bort mindre transaktioner, mindre än 100 MSEK. Något som har visat sig viktigt för att få ner volatiliteten på ränt</w:t>
      </w:r>
      <w:r w:rsidR="0056167C">
        <w:t>or</w:t>
      </w:r>
      <w:r w:rsidR="00F85C00">
        <w:t xml:space="preserve"> och för att minska risken för manipulation är att utesluta </w:t>
      </w:r>
      <w:r w:rsidR="00F85C00" w:rsidRPr="00FD4678">
        <w:rPr>
          <w:i/>
        </w:rPr>
        <w:t>extremvärden</w:t>
      </w:r>
      <w:r w:rsidR="00F85C00">
        <w:t xml:space="preserve">. </w:t>
      </w:r>
      <w:r w:rsidR="00F2786F">
        <w:t xml:space="preserve"> Med extremvärden avses transaktioner med högst respektive lägst ränta. </w:t>
      </w:r>
      <w:r w:rsidR="001C550B">
        <w:t xml:space="preserve">Analyser har gjorts för att identifiera om </w:t>
      </w:r>
      <w:r w:rsidR="00E35FFF">
        <w:t xml:space="preserve">kvarvarande transaktioner </w:t>
      </w:r>
      <w:r w:rsidR="001C550B">
        <w:t xml:space="preserve">utgör ett tillräckligt </w:t>
      </w:r>
      <w:r w:rsidR="00E35FFF">
        <w:t xml:space="preserve">underlag för att kunna skapa en fixing över tid. </w:t>
      </w:r>
    </w:p>
    <w:p w14:paraId="599BA018" w14:textId="77777777" w:rsidR="0056167C" w:rsidRDefault="0056167C" w:rsidP="00A5756B"/>
    <w:p w14:paraId="5828FEDD" w14:textId="37526602" w:rsidR="00E35FFF" w:rsidRDefault="005E7557" w:rsidP="00A5756B">
      <w:r>
        <w:t>S</w:t>
      </w:r>
      <w:r w:rsidR="00320128">
        <w:t xml:space="preserve">amtliga Stiborbanker </w:t>
      </w:r>
      <w:r>
        <w:t xml:space="preserve">har </w:t>
      </w:r>
      <w:r w:rsidR="00320128">
        <w:t xml:space="preserve">bidragit med underlag till </w:t>
      </w:r>
      <w:r>
        <w:t xml:space="preserve">analysens </w:t>
      </w:r>
      <w:r w:rsidR="00320128">
        <w:t xml:space="preserve">sammanställning. </w:t>
      </w:r>
      <w:r>
        <w:t xml:space="preserve">Tanken är att så också ska ske när </w:t>
      </w:r>
      <w:r w:rsidR="0056167C">
        <w:t>den föreslagna</w:t>
      </w:r>
      <w:r w:rsidR="000F2279">
        <w:t xml:space="preserve"> transaktionsbaserade räntan</w:t>
      </w:r>
      <w:r w:rsidR="00C414CE">
        <w:t xml:space="preserve"> </w:t>
      </w:r>
      <w:r>
        <w:t>tas i bruk och dagligen ska beräknas</w:t>
      </w:r>
      <w:r w:rsidR="00320128">
        <w:t xml:space="preserve">. </w:t>
      </w:r>
      <w:r w:rsidR="005D2DE1">
        <w:t xml:space="preserve">Ett </w:t>
      </w:r>
      <w:r w:rsidR="00320128">
        <w:t xml:space="preserve">regelverk för </w:t>
      </w:r>
      <w:r>
        <w:t xml:space="preserve">räntans </w:t>
      </w:r>
      <w:r w:rsidR="00320128">
        <w:t xml:space="preserve">fixing ska </w:t>
      </w:r>
      <w:r>
        <w:t>tas fram</w:t>
      </w:r>
      <w:r w:rsidR="00320128">
        <w:t xml:space="preserve"> </w:t>
      </w:r>
      <w:r w:rsidR="002049BA">
        <w:t xml:space="preserve">i ett </w:t>
      </w:r>
      <w:r w:rsidR="00320128">
        <w:t>senare</w:t>
      </w:r>
      <w:r w:rsidR="002049BA">
        <w:t xml:space="preserve"> skede</w:t>
      </w:r>
      <w:r w:rsidR="00320128">
        <w:t xml:space="preserve">. </w:t>
      </w:r>
    </w:p>
    <w:p w14:paraId="1F692FB4" w14:textId="43A69309" w:rsidR="00151A2D" w:rsidRDefault="00151A2D" w:rsidP="00151A2D">
      <w:pPr>
        <w:pStyle w:val="Rubrik2"/>
      </w:pPr>
      <w:bookmarkStart w:id="11" w:name="_Toc5118747"/>
      <w:r>
        <w:t>2.</w:t>
      </w:r>
      <w:r w:rsidR="00D24A61">
        <w:t>3</w:t>
      </w:r>
      <w:r>
        <w:t>. Urvalsprocessen</w:t>
      </w:r>
      <w:bookmarkEnd w:id="11"/>
    </w:p>
    <w:p w14:paraId="2157C484" w14:textId="00CA67EC" w:rsidR="00151A2D" w:rsidRDefault="001C550B" w:rsidP="00A5756B">
      <w:r>
        <w:t xml:space="preserve">De transaktioner </w:t>
      </w:r>
      <w:r w:rsidR="00F85C00">
        <w:t>som samla</w:t>
      </w:r>
      <w:r>
        <w:t>ts</w:t>
      </w:r>
      <w:r w:rsidR="00F85C00">
        <w:t xml:space="preserve"> in </w:t>
      </w:r>
      <w:r>
        <w:t>avser</w:t>
      </w:r>
      <w:r w:rsidR="001F1A97">
        <w:t xml:space="preserve"> </w:t>
      </w:r>
      <w:r w:rsidR="00F85C00">
        <w:t>O/N</w:t>
      </w:r>
      <w:r w:rsidR="001F1A97">
        <w:t xml:space="preserve"> </w:t>
      </w:r>
      <w:r w:rsidR="00F85C00">
        <w:t xml:space="preserve">och T/N </w:t>
      </w:r>
      <w:r>
        <w:t xml:space="preserve">men också transaktioner </w:t>
      </w:r>
      <w:r w:rsidR="00F85C00">
        <w:t>för tre</w:t>
      </w:r>
      <w:r>
        <w:t xml:space="preserve"> </w:t>
      </w:r>
      <w:r w:rsidR="00F85C00">
        <w:t xml:space="preserve">månader. </w:t>
      </w:r>
    </w:p>
    <w:p w14:paraId="7EE5ABE0" w14:textId="4BFFA9D5" w:rsidR="00E35FFF" w:rsidRDefault="00E35FFF" w:rsidP="00A5756B"/>
    <w:p w14:paraId="2A233B27" w14:textId="1D6F9613" w:rsidR="00E35FFF" w:rsidRDefault="001C550B" w:rsidP="00A5756B">
      <w:r>
        <w:t xml:space="preserve">Med syfte att identifiera en möjlig alternativ referensränta har följande </w:t>
      </w:r>
      <w:r w:rsidR="00E35FFF">
        <w:t xml:space="preserve">kriterier </w:t>
      </w:r>
      <w:r>
        <w:t>använts</w:t>
      </w:r>
      <w:r w:rsidR="00E35FFF">
        <w:t xml:space="preserve">: </w:t>
      </w:r>
    </w:p>
    <w:p w14:paraId="0BBD64F1" w14:textId="7BD62C2E" w:rsidR="00E35FFF" w:rsidRDefault="00E35FFF" w:rsidP="00A5756B"/>
    <w:p w14:paraId="6269D2DD" w14:textId="3A419EC6" w:rsidR="00E35FFF" w:rsidRDefault="00E35FFF" w:rsidP="00E35FFF">
      <w:pPr>
        <w:pStyle w:val="Liststycke"/>
        <w:numPr>
          <w:ilvl w:val="0"/>
          <w:numId w:val="33"/>
        </w:numPr>
      </w:pPr>
      <w:r>
        <w:t xml:space="preserve">Finns det tillräckligt antal transaktioner för att skapa en fixing varje dag? </w:t>
      </w:r>
      <w:r w:rsidR="001C550B">
        <w:t xml:space="preserve">I </w:t>
      </w:r>
      <w:r>
        <w:t xml:space="preserve">Ifall </w:t>
      </w:r>
      <w:r w:rsidR="001C550B">
        <w:t>av</w:t>
      </w:r>
      <w:r>
        <w:t xml:space="preserve"> för få transaktioner skulle</w:t>
      </w:r>
      <w:r w:rsidR="00343A3C">
        <w:t xml:space="preserve"> </w:t>
      </w:r>
      <w:r w:rsidR="001C550B">
        <w:t xml:space="preserve">eventuella regler för hantering </w:t>
      </w:r>
      <w:r>
        <w:t>om underlaget är otillräckligt</w:t>
      </w:r>
      <w:r w:rsidR="001C550B">
        <w:t xml:space="preserve"> </w:t>
      </w:r>
      <w:r>
        <w:t xml:space="preserve">få </w:t>
      </w:r>
      <w:r w:rsidR="00343A3C">
        <w:t>ett</w:t>
      </w:r>
      <w:r>
        <w:t xml:space="preserve"> stort inflytande över räntesättningen. </w:t>
      </w:r>
    </w:p>
    <w:p w14:paraId="4B5C26CC" w14:textId="75ADA453" w:rsidR="00E35FFF" w:rsidRDefault="00E35FFF" w:rsidP="00E35FFF">
      <w:pPr>
        <w:pStyle w:val="Liststycke"/>
        <w:numPr>
          <w:ilvl w:val="0"/>
          <w:numId w:val="33"/>
        </w:numPr>
      </w:pPr>
      <w:r>
        <w:t>Är de</w:t>
      </w:r>
      <w:r w:rsidR="001C550B">
        <w:t>n</w:t>
      </w:r>
      <w:r>
        <w:t xml:space="preserve"> genomsnittliga volymen tillräckligt stor? </w:t>
      </w:r>
      <w:r w:rsidR="001C550B">
        <w:t>Vi</w:t>
      </w:r>
      <w:r w:rsidR="00C414CE">
        <w:t>d</w:t>
      </w:r>
      <w:r w:rsidR="001C550B">
        <w:t xml:space="preserve"> för små </w:t>
      </w:r>
      <w:r>
        <w:t>volymer</w:t>
      </w:r>
      <w:r w:rsidR="001C550B">
        <w:t xml:space="preserve"> finns risk för </w:t>
      </w:r>
      <w:r w:rsidR="00F2786F">
        <w:t xml:space="preserve">ett misstroende mot räntan </w:t>
      </w:r>
      <w:r w:rsidR="001C550B">
        <w:t xml:space="preserve">och att denna </w:t>
      </w:r>
      <w:r w:rsidR="00F2786F">
        <w:t xml:space="preserve">baserats </w:t>
      </w:r>
      <w:r w:rsidR="001C550B">
        <w:t xml:space="preserve">på felaktiga </w:t>
      </w:r>
      <w:r w:rsidR="00F2786F">
        <w:t>grunder.</w:t>
      </w:r>
    </w:p>
    <w:p w14:paraId="63CB2113" w14:textId="5AD3EC34" w:rsidR="00E35FFF" w:rsidRDefault="00E35FFF" w:rsidP="00E35FFF">
      <w:pPr>
        <w:pStyle w:val="Liststycke"/>
        <w:numPr>
          <w:ilvl w:val="0"/>
          <w:numId w:val="33"/>
        </w:numPr>
      </w:pPr>
      <w:r>
        <w:t xml:space="preserve">Är det tillräckligt många rapporterande banker varje dag? </w:t>
      </w:r>
      <w:r w:rsidR="001C550B">
        <w:t xml:space="preserve">Om </w:t>
      </w:r>
      <w:r>
        <w:t>antal</w:t>
      </w:r>
      <w:r w:rsidR="00B51FF9">
        <w:t xml:space="preserve"> banker är få</w:t>
      </w:r>
      <w:r>
        <w:t xml:space="preserve"> minskar trovärdigheten i räntan och enskilda banker kan </w:t>
      </w:r>
      <w:r w:rsidR="001C550B">
        <w:t xml:space="preserve">få </w:t>
      </w:r>
      <w:r>
        <w:t xml:space="preserve">för stort inflytande över räntan. </w:t>
      </w:r>
    </w:p>
    <w:p w14:paraId="58C7A049" w14:textId="61995712" w:rsidR="00E35FFF" w:rsidRDefault="00E35FFF" w:rsidP="00E35FFF">
      <w:pPr>
        <w:pStyle w:val="Liststycke"/>
        <w:numPr>
          <w:ilvl w:val="0"/>
          <w:numId w:val="33"/>
        </w:numPr>
      </w:pPr>
      <w:r>
        <w:t xml:space="preserve">Rör sig räntan som den kan förväntas röra sig? För att räntan ska ha förtroende i marknaden </w:t>
      </w:r>
      <w:r w:rsidR="00361CAF">
        <w:t xml:space="preserve">är det viktigt att marknaden kan förstå dess rörelser. </w:t>
      </w:r>
    </w:p>
    <w:p w14:paraId="52AE3457" w14:textId="0DA49C09" w:rsidR="00361CAF" w:rsidRDefault="00361CAF" w:rsidP="00E35FFF">
      <w:pPr>
        <w:pStyle w:val="Liststycke"/>
        <w:numPr>
          <w:ilvl w:val="0"/>
          <w:numId w:val="33"/>
        </w:numPr>
      </w:pPr>
      <w:r>
        <w:t xml:space="preserve">Är volatiliteten för stor för att räntan ska kunna användas som referensränta i finansiella kontrakt? </w:t>
      </w:r>
    </w:p>
    <w:p w14:paraId="32E79677" w14:textId="218B9A18" w:rsidR="00361CAF" w:rsidRDefault="00361CAF" w:rsidP="00E35FFF">
      <w:pPr>
        <w:pStyle w:val="Liststycke"/>
        <w:numPr>
          <w:ilvl w:val="0"/>
          <w:numId w:val="33"/>
        </w:numPr>
      </w:pPr>
      <w:r>
        <w:t xml:space="preserve">Sammansättningen av definitionen av räntan </w:t>
      </w:r>
      <w:r w:rsidR="00B51FF9">
        <w:t xml:space="preserve">bör så långt det är möjligt </w:t>
      </w:r>
      <w:r>
        <w:t>stämma överens med vad som har använt</w:t>
      </w:r>
      <w:r w:rsidR="00B51FF9">
        <w:t>s</w:t>
      </w:r>
      <w:r>
        <w:t xml:space="preserve"> för att definiera RFR i andra valutaområden. Dock måste hänsyn tas till speciella förutsättningar för SEK-marknaden. </w:t>
      </w:r>
    </w:p>
    <w:p w14:paraId="33CA2EE5" w14:textId="77777777" w:rsidR="00361CAF" w:rsidRDefault="00361CAF" w:rsidP="00361CAF"/>
    <w:p w14:paraId="10B8A6FD" w14:textId="3281F99B" w:rsidR="00361CAF" w:rsidRDefault="00361CAF" w:rsidP="00361CA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lastRenderedPageBreak/>
        <w:t xml:space="preserve">Fråga 1: Är </w:t>
      </w:r>
      <w:r w:rsidR="00B51FF9">
        <w:t xml:space="preserve">ovan </w:t>
      </w:r>
      <w:r w:rsidR="00C414CE">
        <w:t xml:space="preserve">angivna </w:t>
      </w:r>
      <w:r>
        <w:t xml:space="preserve">urvalskriterier </w:t>
      </w:r>
      <w:r w:rsidR="005069BB">
        <w:t xml:space="preserve">lämpliga </w:t>
      </w:r>
      <w:r>
        <w:t xml:space="preserve">för </w:t>
      </w:r>
      <w:r w:rsidR="00B51FF9">
        <w:t xml:space="preserve">att ta fram </w:t>
      </w:r>
      <w:r>
        <w:t>en transaktionsbaserad kort referensränta (RFR)? Vad är inte relevant</w:t>
      </w:r>
      <w:r w:rsidR="00B51FF9">
        <w:t>? Vilka ytterligare kriterier kan vara lämpliga att ta med?</w:t>
      </w:r>
      <w:r>
        <w:t xml:space="preserve"> </w:t>
      </w:r>
    </w:p>
    <w:p w14:paraId="15076146" w14:textId="42542883" w:rsidR="00361CAF" w:rsidRDefault="00361CAF" w:rsidP="00361CA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Svar: </w:t>
      </w:r>
    </w:p>
    <w:p w14:paraId="31A2FAF7" w14:textId="77777777" w:rsidR="00361CAF" w:rsidRDefault="00361CAF" w:rsidP="00361CA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p>
    <w:p w14:paraId="6DCD74C9" w14:textId="7E0624F3" w:rsidR="00F85C00" w:rsidRDefault="00F85C00" w:rsidP="00A5756B"/>
    <w:p w14:paraId="0592BA87" w14:textId="72308A50" w:rsidR="00C414CE" w:rsidRDefault="00F85C00" w:rsidP="00A5756B">
      <w:r>
        <w:t>Att samla in transaktioner för tremånaders löptid gjordes främst för att se om det f</w:t>
      </w:r>
      <w:r w:rsidR="00E35FFF">
        <w:t>a</w:t>
      </w:r>
      <w:r>
        <w:t>nns någon potential att ta fram en sådan ränta</w:t>
      </w:r>
      <w:r w:rsidR="00361CAF">
        <w:t xml:space="preserve">. Det visade sig inte vara möjligt. Det var fler dagar utan transaktioner än </w:t>
      </w:r>
      <w:r w:rsidR="009C0900">
        <w:t xml:space="preserve">dagar </w:t>
      </w:r>
      <w:r w:rsidR="00361CAF">
        <w:t>med transaktioner och huvuddelen av transaktionerna hade icke</w:t>
      </w:r>
      <w:r w:rsidR="00680203">
        <w:t>-</w:t>
      </w:r>
      <w:r w:rsidR="00361CAF">
        <w:t xml:space="preserve">finansiella motparter och därmed blev volatiliteten </w:t>
      </w:r>
      <w:r w:rsidR="00343A3C">
        <w:t>besvärande</w:t>
      </w:r>
      <w:r w:rsidR="00361CAF">
        <w:t xml:space="preserve"> stor. </w:t>
      </w:r>
      <w:r w:rsidR="005733AD">
        <w:t xml:space="preserve">Det har inte förkommit i något annat valutaområde att tremånaderstransaktioner har kunnat fungera som grund för en RFR. </w:t>
      </w:r>
      <w:r w:rsidR="00361CAF">
        <w:t xml:space="preserve">Hela gruppen av tremånaderstransaktioner uteslöts </w:t>
      </w:r>
      <w:r w:rsidR="005733AD">
        <w:t xml:space="preserve">av dessa skäl. </w:t>
      </w:r>
    </w:p>
    <w:p w14:paraId="1BDBD5DB" w14:textId="690A7C78" w:rsidR="00B20368" w:rsidRPr="00C414CE" w:rsidRDefault="00B20368" w:rsidP="00A5756B"/>
    <w:p w14:paraId="605F93E3" w14:textId="40FE1CE5" w:rsidR="00B51FF9" w:rsidRDefault="005733AD" w:rsidP="00A5756B">
      <w:r>
        <w:t>När det gäller T/N-transaktioner visade det sig att dessa främst gjordes i form av säkerställda transaktioner. Om alla motparter togs med och alla säkrade transaktioner, oavsett om de ledde till in- eller utlåning</w:t>
      </w:r>
      <w:r w:rsidR="00B51FF9">
        <w:t>,</w:t>
      </w:r>
      <w:r>
        <w:t xml:space="preserve"> genomfördes i snitt 39 </w:t>
      </w:r>
      <w:r w:rsidR="00B51FF9">
        <w:t>T/N-</w:t>
      </w:r>
      <w:r>
        <w:t xml:space="preserve">transaktioner per handelsdag och volymen per dag </w:t>
      </w:r>
      <w:r w:rsidR="00B51FF9">
        <w:t xml:space="preserve">låg på </w:t>
      </w:r>
      <w:r>
        <w:t xml:space="preserve">i snitt 17,7 </w:t>
      </w:r>
      <w:proofErr w:type="spellStart"/>
      <w:r>
        <w:t>md</w:t>
      </w:r>
      <w:r w:rsidR="00B64014">
        <w:t>.</w:t>
      </w:r>
      <w:proofErr w:type="spellEnd"/>
      <w:r w:rsidR="00B64014">
        <w:t xml:space="preserve"> </w:t>
      </w:r>
    </w:p>
    <w:p w14:paraId="6FA754F8" w14:textId="77777777" w:rsidR="00C414CE" w:rsidRDefault="00C414CE" w:rsidP="00A5756B"/>
    <w:p w14:paraId="543AF8E8" w14:textId="7549A20E" w:rsidR="002232D0" w:rsidRDefault="00B64014" w:rsidP="00A5756B">
      <w:r>
        <w:t xml:space="preserve">Under den undersökta perioden förekom det dock 1 dag utan transaktioner och 4 dagar med mindre än 5 transaktioner. Trots att det under perioden har varit problem med att få fram tillgångar att repa har dock räntan varit relativt stabil för denna definition. Dock avviker </w:t>
      </w:r>
      <w:r w:rsidR="00494A18">
        <w:t xml:space="preserve">ibland räntan på ett sätt som kan vara svårt att förklara. </w:t>
      </w:r>
      <w:r w:rsidR="002232D0">
        <w:t xml:space="preserve">I diagrammet nedan visas hur räntan för dessa transaktioner </w:t>
      </w:r>
      <w:r w:rsidR="00343A3C">
        <w:t xml:space="preserve">(Definition 2) </w:t>
      </w:r>
      <w:r w:rsidR="002232D0">
        <w:t xml:space="preserve">gestalt sig i samma diagram som Stibor T/N: </w:t>
      </w:r>
    </w:p>
    <w:p w14:paraId="43754F8F" w14:textId="2DF8DF19" w:rsidR="002232D0" w:rsidRDefault="002232D0" w:rsidP="00A5756B">
      <w:bookmarkStart w:id="12" w:name="_GoBack"/>
      <w:r>
        <w:rPr>
          <w:noProof/>
        </w:rPr>
        <w:drawing>
          <wp:inline distT="0" distB="0" distL="0" distR="0" wp14:anchorId="4ECA5127" wp14:editId="5A90712E">
            <wp:extent cx="4879239" cy="3302044"/>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84087" cy="3305325"/>
                    </a:xfrm>
                    <a:prstGeom prst="rect">
                      <a:avLst/>
                    </a:prstGeom>
                    <a:noFill/>
                  </pic:spPr>
                </pic:pic>
              </a:graphicData>
            </a:graphic>
          </wp:inline>
        </w:drawing>
      </w:r>
      <w:bookmarkEnd w:id="12"/>
    </w:p>
    <w:p w14:paraId="2757AC4F" w14:textId="77777777" w:rsidR="00ED5D53" w:rsidRDefault="00ED5D53" w:rsidP="00A5756B"/>
    <w:p w14:paraId="43CE7B30" w14:textId="5B371003" w:rsidR="002232D0" w:rsidRDefault="002232D0" w:rsidP="00A5756B">
      <w:r>
        <w:t xml:space="preserve">Övriga </w:t>
      </w:r>
      <w:r w:rsidR="00C414CE">
        <w:t>typer</w:t>
      </w:r>
      <w:r>
        <w:t xml:space="preserve"> av T/N-transaktioner hade mindre daglig volym och färre transaktioner. Dessutom hade de fler dagar då det inte skett några transaktioner och färre banker involverade i transaktionerna. </w:t>
      </w:r>
    </w:p>
    <w:p w14:paraId="5E2C2C32" w14:textId="5FA86276" w:rsidR="00594BF1" w:rsidRDefault="00594BF1" w:rsidP="00A5756B"/>
    <w:p w14:paraId="40071AA6" w14:textId="722CF366" w:rsidR="00B20368" w:rsidRDefault="00B20368" w:rsidP="00A5756B">
      <w:r>
        <w:t xml:space="preserve">Arbetsgruppen anser att antalet T/N-transaktioner är för få samt att dessa inte är tillräckligt stabila för </w:t>
      </w:r>
      <w:r w:rsidR="00594BF1">
        <w:t xml:space="preserve">att </w:t>
      </w:r>
      <w:r>
        <w:t xml:space="preserve">kunna utgöra underlag till en ny </w:t>
      </w:r>
      <w:r w:rsidR="00594BF1">
        <w:t xml:space="preserve">referensränta. </w:t>
      </w:r>
    </w:p>
    <w:p w14:paraId="1B35DCF2" w14:textId="77777777" w:rsidR="00B20368" w:rsidRDefault="00B20368" w:rsidP="00A5756B"/>
    <w:p w14:paraId="7BC5CD3E" w14:textId="0C723F65" w:rsidR="00253AD9" w:rsidRPr="00616CFC" w:rsidRDefault="00594BF1" w:rsidP="00A5756B">
      <w:r>
        <w:t xml:space="preserve">Det faktum att främst repomarknaden skulle </w:t>
      </w:r>
      <w:r w:rsidR="00253AD9">
        <w:t xml:space="preserve">ligga till </w:t>
      </w:r>
      <w:r>
        <w:t xml:space="preserve">grund för referensräntan </w:t>
      </w:r>
      <w:r w:rsidR="00253AD9">
        <w:t xml:space="preserve">är </w:t>
      </w:r>
      <w:r w:rsidR="00343A3C">
        <w:t>också en negativ faktor</w:t>
      </w:r>
      <w:r>
        <w:t xml:space="preserve">. I andra länder, främst USA, har det visat sig att deras nya referensränta, </w:t>
      </w:r>
      <w:proofErr w:type="spellStart"/>
      <w:r>
        <w:t>Sofr</w:t>
      </w:r>
      <w:proofErr w:type="spellEnd"/>
      <w:r>
        <w:t>, är mycket stabil förutom vid tillfällen då det blir obalanser i marknaden för säkerheterna som repas (Statsobl</w:t>
      </w:r>
      <w:r w:rsidR="00343A3C">
        <w:t>i</w:t>
      </w:r>
      <w:r>
        <w:t xml:space="preserve">gationer). Det bör göra en sådan ränta mindre lämplig som referensränta för olika former av finansiella kontrakt. Om detta är ett problem i USD-marknaden borde ett sådant problem kunna bli mycket </w:t>
      </w:r>
      <w:r w:rsidRPr="00616CFC">
        <w:t xml:space="preserve">större i en mindre ekonomi som den svenska. </w:t>
      </w:r>
    </w:p>
    <w:p w14:paraId="59D64313" w14:textId="2BA16069" w:rsidR="00594BF1" w:rsidRPr="00616CFC" w:rsidRDefault="00594BF1" w:rsidP="00A5756B">
      <w:r w:rsidRPr="00616CFC">
        <w:t xml:space="preserve">Dock </w:t>
      </w:r>
      <w:r w:rsidR="00253AD9" w:rsidRPr="00616CFC">
        <w:t xml:space="preserve">finns inte bevis för detta </w:t>
      </w:r>
      <w:r w:rsidRPr="00616CFC">
        <w:t xml:space="preserve">i det undersökta materialet. </w:t>
      </w:r>
    </w:p>
    <w:p w14:paraId="68FC68F2" w14:textId="701DE63D" w:rsidR="00075FD6" w:rsidRPr="00616CFC" w:rsidRDefault="00075FD6" w:rsidP="00A5756B"/>
    <w:p w14:paraId="4616A33A" w14:textId="6288E643" w:rsidR="00075FD6" w:rsidRDefault="00075FD6" w:rsidP="00A5756B">
      <w:r w:rsidRPr="00616CFC">
        <w:t xml:space="preserve">Arbetsgruppen har även diskuterat möjligheten att använda andra räntor som alternativ till Stibor. En av de räntor som diskuterats har varit en form av Riksbankens styrränta. Eftersom det har visat sig internationellt att det finns en stark korrelation mellan initierade RFR-räntorna och centralbankernas styrränta har det </w:t>
      </w:r>
      <w:r w:rsidR="00B80FD7" w:rsidRPr="00616CFC">
        <w:t>an</w:t>
      </w:r>
      <w:r w:rsidRPr="00616CFC">
        <w:t xml:space="preserve">setts som en rationell lösning att använda någon lämplig form av styrräntan som en alternativ ränta. Det har inte varit möjligt att på ett enkelt sätt få fram en </w:t>
      </w:r>
      <w:r w:rsidR="009E5888" w:rsidRPr="00616CFC">
        <w:t>entydig</w:t>
      </w:r>
      <w:r w:rsidRPr="00616CFC">
        <w:t xml:space="preserve"> definition av styrräntan. Än viktigare har varit att styrräntan inte är en transaktionsbaserad ränta</w:t>
      </w:r>
      <w:r w:rsidR="009E5888" w:rsidRPr="00616CFC">
        <w:t>,</w:t>
      </w:r>
      <w:r w:rsidRPr="00616CFC">
        <w:t xml:space="preserve"> vilket har efterfrågats av FSB. Således är inte styrräntan ett möjligt alternativ.</w:t>
      </w:r>
      <w:r>
        <w:t xml:space="preserve">  </w:t>
      </w:r>
    </w:p>
    <w:p w14:paraId="572616AD" w14:textId="6B40DB9D" w:rsidR="00594BF1" w:rsidRDefault="00594BF1" w:rsidP="00A5756B"/>
    <w:p w14:paraId="3235FE09" w14:textId="47034267" w:rsidR="00594BF1" w:rsidRDefault="00594BF1" w:rsidP="00594BF1">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Fråga 2: </w:t>
      </w:r>
      <w:r w:rsidR="00253AD9">
        <w:t xml:space="preserve">Stödjer ni arbetsgruppens slutsats att räntor </w:t>
      </w:r>
      <w:r>
        <w:t xml:space="preserve">baserade på tremånaderstransaktioner och T/N-transaktioner inte uppfyller kriterierna för en lämplig referensränta? </w:t>
      </w:r>
      <w:r w:rsidR="00B81222">
        <w:t>Finns det andra skäl till varför någon av dessa transaktionsbaserade räntor skulle föreslås?</w:t>
      </w:r>
    </w:p>
    <w:p w14:paraId="4E84AE67" w14:textId="3C331E0F" w:rsidR="00594BF1" w:rsidRDefault="00594BF1" w:rsidP="00594BF1">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Svar 2: </w:t>
      </w:r>
    </w:p>
    <w:p w14:paraId="3F1AB14D" w14:textId="0FE05393" w:rsidR="00151A2D" w:rsidRDefault="00151A2D" w:rsidP="00151A2D">
      <w:pPr>
        <w:pStyle w:val="Rubrik2"/>
      </w:pPr>
      <w:bookmarkStart w:id="13" w:name="_Toc5118748"/>
      <w:r>
        <w:t>2.</w:t>
      </w:r>
      <w:r w:rsidR="00D24A61">
        <w:t>4</w:t>
      </w:r>
      <w:r>
        <w:t>. Förslag till lämpliga referensräntor</w:t>
      </w:r>
      <w:bookmarkEnd w:id="13"/>
    </w:p>
    <w:p w14:paraId="301D7383" w14:textId="5B412BCF" w:rsidR="00A568FC" w:rsidRDefault="00A568FC" w:rsidP="00A5756B">
      <w:r>
        <w:t xml:space="preserve">Det </w:t>
      </w:r>
      <w:r w:rsidR="00477BBE">
        <w:t xml:space="preserve">insamlade materialet </w:t>
      </w:r>
      <w:r>
        <w:t>visar</w:t>
      </w:r>
      <w:r w:rsidR="00477BBE">
        <w:t xml:space="preserve"> att flest transaktioner görs i form av O/N- transaktioner utan säkerhet.</w:t>
      </w:r>
      <w:r>
        <w:t xml:space="preserve"> Materialet visar </w:t>
      </w:r>
      <w:r w:rsidR="00477BBE">
        <w:t>transaktioner utan säkerhet</w:t>
      </w:r>
      <w:r>
        <w:t>,</w:t>
      </w:r>
      <w:r w:rsidR="00477BBE">
        <w:t xml:space="preserve"> med banker, övriga finansiella institutioner och </w:t>
      </w:r>
      <w:r w:rsidR="009C0900">
        <w:t>R</w:t>
      </w:r>
      <w:r w:rsidR="00477BBE">
        <w:t>iksgälden om i genomsnitt knappt 42 md per dag</w:t>
      </w:r>
      <w:r>
        <w:t xml:space="preserve">, fördelat </w:t>
      </w:r>
      <w:r w:rsidR="00477BBE">
        <w:t>på</w:t>
      </w:r>
      <w:r w:rsidR="009C0900">
        <w:t xml:space="preserve"> i snitt</w:t>
      </w:r>
      <w:r w:rsidR="00477BBE">
        <w:t xml:space="preserve"> </w:t>
      </w:r>
      <w:r>
        <w:t xml:space="preserve">ca </w:t>
      </w:r>
      <w:r w:rsidR="00477BBE">
        <w:t xml:space="preserve">50 transaktioner. </w:t>
      </w:r>
      <w:r>
        <w:t xml:space="preserve">Minst 5 transaktioner noteras varje dag. </w:t>
      </w:r>
      <w:r w:rsidR="00477BBE">
        <w:t>I genomsnitt har 5,5 bank</w:t>
      </w:r>
      <w:r w:rsidR="009C0900">
        <w:t>er</w:t>
      </w:r>
      <w:r w:rsidR="00477BBE">
        <w:t xml:space="preserve"> (av sju) deltagit varje dag. </w:t>
      </w:r>
    </w:p>
    <w:p w14:paraId="7E10BD65" w14:textId="338608E1" w:rsidR="00151A2D" w:rsidRDefault="00477BBE" w:rsidP="00A5756B">
      <w:r>
        <w:t xml:space="preserve">Arbetsgruppen </w:t>
      </w:r>
      <w:r w:rsidR="00A568FC">
        <w:t xml:space="preserve">anser att O/N transaktioner utan säkerhet, med banker, övriga finansiella institutioner och riksgälden enligt ovan, kan utgöra en möjlig alternativ referensränta. </w:t>
      </w:r>
      <w:r w:rsidR="00B81222">
        <w:t xml:space="preserve">(Alternativ </w:t>
      </w:r>
      <w:r w:rsidR="001D667A">
        <w:t>A</w:t>
      </w:r>
      <w:r w:rsidR="00B81222">
        <w:t>)</w:t>
      </w:r>
      <w:r w:rsidR="001D667A">
        <w:t xml:space="preserve">. </w:t>
      </w:r>
    </w:p>
    <w:p w14:paraId="5E5FAA8C" w14:textId="171E974D" w:rsidR="001D667A" w:rsidRDefault="001D667A" w:rsidP="00A5756B"/>
    <w:p w14:paraId="0B9F21AB" w14:textId="189A12B7" w:rsidR="001D667A" w:rsidRDefault="001D667A" w:rsidP="00A5756B">
      <w:r>
        <w:t xml:space="preserve">Om den alternativa referensräntan baseras på både in- och utlåningstransaktioner, kan </w:t>
      </w:r>
      <w:r w:rsidR="00651E4D">
        <w:t xml:space="preserve">dock </w:t>
      </w:r>
      <w:r>
        <w:t>rörelsen i räntan bli onödigt stor</w:t>
      </w:r>
      <w:r w:rsidR="00651E4D">
        <w:t xml:space="preserve"> de dagar då endast inlåningstransaktioner görs. B</w:t>
      </w:r>
      <w:r>
        <w:t xml:space="preserve">land de undersökta transaktionerna skiljer det </w:t>
      </w:r>
      <w:r w:rsidR="00651E4D">
        <w:t xml:space="preserve">i genomsnitt </w:t>
      </w:r>
      <w:r>
        <w:t>15 punkter mellan räntan på in- och utlåningstransaktioner.</w:t>
      </w:r>
    </w:p>
    <w:p w14:paraId="342A8B3F" w14:textId="5F2CCDFF" w:rsidR="00477BBE" w:rsidRDefault="00477BBE" w:rsidP="00A5756B"/>
    <w:p w14:paraId="54E78EDF" w14:textId="35013BC4" w:rsidR="00477BBE" w:rsidRDefault="00477BBE" w:rsidP="00A5756B">
      <w:r>
        <w:t xml:space="preserve">Ett </w:t>
      </w:r>
      <w:r w:rsidR="00A568FC">
        <w:t>annan möjlighet är att använda O/N transaktioner utan säkerhet</w:t>
      </w:r>
      <w:r w:rsidR="001D667A">
        <w:t>, enligt ovan,</w:t>
      </w:r>
      <w:r w:rsidR="00A568FC" w:rsidDel="00A568FC">
        <w:t xml:space="preserve"> </w:t>
      </w:r>
      <w:r w:rsidR="00A568FC">
        <w:t xml:space="preserve">men endast </w:t>
      </w:r>
      <w:r w:rsidR="001D667A">
        <w:t>baserad på transaktioner vilka s</w:t>
      </w:r>
      <w:r>
        <w:t>kapar inlåning hos den rapporterande banken.</w:t>
      </w:r>
      <w:r w:rsidR="001D667A">
        <w:t xml:space="preserve"> Ett sådant urval stämmer </w:t>
      </w:r>
      <w:r w:rsidR="00B81222">
        <w:t>bättre</w:t>
      </w:r>
      <w:r>
        <w:t xml:space="preserve"> överens med hur </w:t>
      </w:r>
      <w:r w:rsidR="001D667A">
        <w:t xml:space="preserve">andra alternativa referensräntor </w:t>
      </w:r>
      <w:r>
        <w:t>har definierats</w:t>
      </w:r>
      <w:r w:rsidR="001D667A">
        <w:t xml:space="preserve">, så som </w:t>
      </w:r>
      <w:proofErr w:type="gramStart"/>
      <w:r>
        <w:t>Ester</w:t>
      </w:r>
      <w:proofErr w:type="gramEnd"/>
      <w:r>
        <w:t xml:space="preserve"> och Sonia. </w:t>
      </w:r>
      <w:r w:rsidR="004B1D01">
        <w:t xml:space="preserve">Om urvalet bara ska bestå av inlåningstransaktioner </w:t>
      </w:r>
      <w:r w:rsidR="00FF03C8">
        <w:t>blir</w:t>
      </w:r>
      <w:r w:rsidR="004B1D01">
        <w:t xml:space="preserve"> den dagliga volymen 25,5 md och antalet transaktioner 36. </w:t>
      </w:r>
      <w:r w:rsidR="00B81222">
        <w:t xml:space="preserve">(Alternativ </w:t>
      </w:r>
      <w:r w:rsidR="00651E4D">
        <w:t>B</w:t>
      </w:r>
      <w:r w:rsidR="00B81222">
        <w:t>)</w:t>
      </w:r>
    </w:p>
    <w:p w14:paraId="06D33383" w14:textId="6F6BCEE0" w:rsidR="004B1D01" w:rsidRDefault="004B1D01" w:rsidP="00A5756B"/>
    <w:p w14:paraId="15EC609D" w14:textId="506D3C7B" w:rsidR="004B1D01" w:rsidRDefault="004B1D01" w:rsidP="00A5756B">
      <w:r>
        <w:t xml:space="preserve">I </w:t>
      </w:r>
      <w:r w:rsidR="00C140E7">
        <w:t>båda</w:t>
      </w:r>
      <w:r>
        <w:t xml:space="preserve"> </w:t>
      </w:r>
      <w:r w:rsidR="00651E4D">
        <w:t xml:space="preserve">ovan </w:t>
      </w:r>
      <w:r>
        <w:t>urval</w:t>
      </w:r>
      <w:r w:rsidR="00651E4D">
        <w:t xml:space="preserve">, alternativ A och B, </w:t>
      </w:r>
      <w:r>
        <w:t>påverkas räntan kraftigt vid årsskifte</w:t>
      </w:r>
      <w:r w:rsidR="00651E4D">
        <w:t>n</w:t>
      </w:r>
      <w:r>
        <w:t xml:space="preserve">. </w:t>
      </w:r>
      <w:r w:rsidR="00651E4D">
        <w:t xml:space="preserve">Insamlat material visar att fixingen för urvalet av inlåningstransaktioner föll till -4,95 procent under </w:t>
      </w:r>
      <w:r>
        <w:t>årsskiftet 17/18</w:t>
      </w:r>
      <w:r w:rsidR="003709C2">
        <w:t>.</w:t>
      </w:r>
      <w:r w:rsidR="00B81222">
        <w:t xml:space="preserve"> </w:t>
      </w:r>
      <w:r>
        <w:t xml:space="preserve">Eftersom det är större volymer på inlåningstransaktionerna påverkar inte utlåningstransaktionerna så mycket och räntorna i dessa två urval rör sig </w:t>
      </w:r>
      <w:r w:rsidRPr="003709C2">
        <w:rPr>
          <w:color w:val="auto"/>
        </w:rPr>
        <w:t xml:space="preserve">ganska lika. </w:t>
      </w:r>
      <w:r w:rsidR="00C04D1F" w:rsidRPr="003709C2">
        <w:rPr>
          <w:color w:val="auto"/>
        </w:rPr>
        <w:t xml:space="preserve">Rörelserna kring årsskiftena </w:t>
      </w:r>
      <w:r w:rsidR="00651E4D" w:rsidRPr="003709C2">
        <w:rPr>
          <w:color w:val="auto"/>
        </w:rPr>
        <w:t xml:space="preserve">beror </w:t>
      </w:r>
      <w:r w:rsidR="00CD452F">
        <w:rPr>
          <w:color w:val="auto"/>
        </w:rPr>
        <w:t xml:space="preserve">bland annat </w:t>
      </w:r>
      <w:r w:rsidR="00651E4D" w:rsidRPr="003709C2">
        <w:rPr>
          <w:color w:val="auto"/>
        </w:rPr>
        <w:t xml:space="preserve">på den metod som Riksgälden använder för att </w:t>
      </w:r>
      <w:r w:rsidR="00F324A4" w:rsidRPr="003709C2">
        <w:rPr>
          <w:color w:val="auto"/>
        </w:rPr>
        <w:t xml:space="preserve">ta ut </w:t>
      </w:r>
      <w:r w:rsidR="00651E4D" w:rsidRPr="003709C2">
        <w:rPr>
          <w:color w:val="auto"/>
        </w:rPr>
        <w:t xml:space="preserve">den så kallade </w:t>
      </w:r>
      <w:r w:rsidR="00F324A4" w:rsidRPr="003709C2">
        <w:rPr>
          <w:color w:val="auto"/>
        </w:rPr>
        <w:t>resolutionsavgift</w:t>
      </w:r>
      <w:r w:rsidR="00651E4D" w:rsidRPr="003709C2">
        <w:rPr>
          <w:color w:val="auto"/>
        </w:rPr>
        <w:t>en</w:t>
      </w:r>
      <w:r w:rsidR="00F324A4" w:rsidRPr="003709C2">
        <w:rPr>
          <w:color w:val="auto"/>
        </w:rPr>
        <w:t xml:space="preserve">. </w:t>
      </w:r>
      <w:r w:rsidRPr="003709C2">
        <w:rPr>
          <w:color w:val="auto"/>
        </w:rPr>
        <w:t>(Observera att utfallen för årsskiften ligger utanför skalan</w:t>
      </w:r>
      <w:r>
        <w:t>)</w:t>
      </w:r>
      <w:r w:rsidR="00651E4D">
        <w:t>.</w:t>
      </w:r>
    </w:p>
    <w:p w14:paraId="0CA8B56C" w14:textId="3F449626" w:rsidR="004B1D01" w:rsidRDefault="004B1D01" w:rsidP="00A5756B"/>
    <w:p w14:paraId="45410632" w14:textId="682FBBB5" w:rsidR="004B1D01" w:rsidRDefault="001F1567" w:rsidP="00A5756B">
      <w:r>
        <w:rPr>
          <w:noProof/>
        </w:rPr>
        <w:drawing>
          <wp:inline distT="0" distB="0" distL="0" distR="0" wp14:anchorId="1FEC63C1" wp14:editId="48BF7F08">
            <wp:extent cx="5108448" cy="2962712"/>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438" cy="2983585"/>
                    </a:xfrm>
                    <a:prstGeom prst="rect">
                      <a:avLst/>
                    </a:prstGeom>
                    <a:noFill/>
                  </pic:spPr>
                </pic:pic>
              </a:graphicData>
            </a:graphic>
          </wp:inline>
        </w:drawing>
      </w:r>
    </w:p>
    <w:p w14:paraId="3E28DC0F" w14:textId="3AD626E0" w:rsidR="004B1D01" w:rsidRDefault="004B1D01" w:rsidP="00A5756B"/>
    <w:p w14:paraId="449E39BD" w14:textId="6F56D2A3" w:rsidR="004B1D01" w:rsidRDefault="00522EFF" w:rsidP="00A5756B">
      <w:r>
        <w:t xml:space="preserve">Arbetsgruppen har analyserat effekten av att i alternativ A respektive B ovan, </w:t>
      </w:r>
      <w:r w:rsidR="00FB5C86">
        <w:t xml:space="preserve">införa en regel </w:t>
      </w:r>
      <w:r>
        <w:t xml:space="preserve">om </w:t>
      </w:r>
      <w:r w:rsidR="00FB5C86">
        <w:t xml:space="preserve">att mindre transaktioner </w:t>
      </w:r>
      <w:r>
        <w:t xml:space="preserve">utesluts liksom även </w:t>
      </w:r>
      <w:r w:rsidR="00FB5C86">
        <w:t>transaktioner med höga respektive låga räntor</w:t>
      </w:r>
      <w:r>
        <w:t xml:space="preserve"> (extremvärden)</w:t>
      </w:r>
      <w:r w:rsidR="003709C2">
        <w:t xml:space="preserve"> utesluts</w:t>
      </w:r>
      <w:r w:rsidR="00FB5C86">
        <w:t xml:space="preserve">. </w:t>
      </w:r>
      <w:r>
        <w:t>För</w:t>
      </w:r>
      <w:r w:rsidR="00FB5C86">
        <w:t xml:space="preserve"> mindre transaktioner </w:t>
      </w:r>
      <w:r>
        <w:t xml:space="preserve">sattes </w:t>
      </w:r>
      <w:r w:rsidR="00FB5C86">
        <w:t xml:space="preserve">en gräns vid 100 MSEK. </w:t>
      </w:r>
      <w:r>
        <w:t xml:space="preserve">Som </w:t>
      </w:r>
      <w:r w:rsidR="00FB5C86">
        <w:t xml:space="preserve">metod för att </w:t>
      </w:r>
      <w:r>
        <w:t>utesluta</w:t>
      </w:r>
      <w:r w:rsidR="00FB5C86">
        <w:t xml:space="preserve"> extremvärden har </w:t>
      </w:r>
      <w:r>
        <w:t xml:space="preserve">arbetsgruppen </w:t>
      </w:r>
      <w:r w:rsidR="00FB5C86">
        <w:t xml:space="preserve">testat med att ta bort 5 respektive 10 procent av transaktionerna med </w:t>
      </w:r>
      <w:r>
        <w:t xml:space="preserve">de </w:t>
      </w:r>
      <w:r w:rsidR="00FB5C86">
        <w:t xml:space="preserve">högsta </w:t>
      </w:r>
      <w:r>
        <w:lastRenderedPageBreak/>
        <w:t xml:space="preserve">respektive </w:t>
      </w:r>
      <w:r w:rsidR="00FB5C86">
        <w:t xml:space="preserve">lägsta räntorna. Dessutom </w:t>
      </w:r>
      <w:r w:rsidR="00027CC1">
        <w:t>analyserades</w:t>
      </w:r>
      <w:r w:rsidR="00FB5C86">
        <w:t xml:space="preserve"> vad som händer om inga transaktioner tas bort </w:t>
      </w:r>
      <w:r w:rsidR="00027CC1">
        <w:t xml:space="preserve">under </w:t>
      </w:r>
      <w:r w:rsidR="00FB5C86">
        <w:t>dagar</w:t>
      </w:r>
      <w:r w:rsidR="00027CC1">
        <w:t xml:space="preserve"> med </w:t>
      </w:r>
      <w:r w:rsidR="00FB5C86">
        <w:t xml:space="preserve">färre än 10 transaktioner, </w:t>
      </w:r>
      <w:r w:rsidR="00027CC1">
        <w:t xml:space="preserve">om </w:t>
      </w:r>
      <w:r w:rsidR="00FB5C86">
        <w:t xml:space="preserve">2 transaktioner </w:t>
      </w:r>
      <w:r w:rsidR="00027CC1">
        <w:t>tas bort i det övre respektive lägre spannet under dagar med</w:t>
      </w:r>
      <w:r w:rsidR="00FB5C86">
        <w:t xml:space="preserve"> 11 </w:t>
      </w:r>
      <w:r w:rsidR="00027CC1">
        <w:t xml:space="preserve">till </w:t>
      </w:r>
      <w:r w:rsidR="00FB5C86">
        <w:t>20 transaktioner, 3 transaktioner</w:t>
      </w:r>
      <w:r w:rsidR="00027CC1">
        <w:t xml:space="preserve"> tas bort i det övre respektive lägre spannet under dagar med</w:t>
      </w:r>
      <w:r w:rsidR="00FB5C86">
        <w:t xml:space="preserve"> 21 </w:t>
      </w:r>
      <w:r w:rsidR="00027CC1">
        <w:t xml:space="preserve">till </w:t>
      </w:r>
      <w:r w:rsidR="00FB5C86">
        <w:t>30 transaktioner och så vidare</w:t>
      </w:r>
      <w:r w:rsidR="00027CC1">
        <w:t xml:space="preserve">, i </w:t>
      </w:r>
      <w:r w:rsidR="00F711BF">
        <w:t>en trappa</w:t>
      </w:r>
      <w:r w:rsidR="00FB5C86">
        <w:t xml:space="preserve">. </w:t>
      </w:r>
      <w:r w:rsidR="00027CC1">
        <w:t xml:space="preserve">Syftet med ovan tester är endast för att analysera huruvida </w:t>
      </w:r>
      <w:r w:rsidR="00FB5C86">
        <w:t xml:space="preserve">urvalen skulle kunna hantera att mindre transaktioner och extremvärden </w:t>
      </w:r>
      <w:r w:rsidR="00027CC1">
        <w:t>utesluts</w:t>
      </w:r>
      <w:r w:rsidR="00FB5C86">
        <w:t xml:space="preserve">. </w:t>
      </w:r>
      <w:r w:rsidR="00027CC1">
        <w:t>T</w:t>
      </w:r>
      <w:r w:rsidR="00FB5C86">
        <w:t>abellen nedan visa</w:t>
      </w:r>
      <w:r w:rsidR="00027CC1">
        <w:t xml:space="preserve">r några av uppgifterna från </w:t>
      </w:r>
      <w:r w:rsidR="00FB5C86">
        <w:t xml:space="preserve">dessa tester: </w:t>
      </w:r>
    </w:p>
    <w:p w14:paraId="6D554E01" w14:textId="77777777" w:rsidR="00FB5C86" w:rsidRDefault="00FB5C86" w:rsidP="00A5756B"/>
    <w:p w14:paraId="5DC399E8" w14:textId="2AAAC79A" w:rsidR="00FB5C86" w:rsidRDefault="00DC165E" w:rsidP="00A5756B">
      <w:r w:rsidRPr="00DC165E">
        <w:rPr>
          <w:noProof/>
        </w:rPr>
        <w:drawing>
          <wp:inline distT="0" distB="0" distL="0" distR="0" wp14:anchorId="396F0034" wp14:editId="17E44153">
            <wp:extent cx="4810760" cy="3244215"/>
            <wp:effectExtent l="0" t="0" r="889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0760" cy="3244215"/>
                    </a:xfrm>
                    <a:prstGeom prst="rect">
                      <a:avLst/>
                    </a:prstGeom>
                    <a:noFill/>
                    <a:ln>
                      <a:noFill/>
                    </a:ln>
                  </pic:spPr>
                </pic:pic>
              </a:graphicData>
            </a:graphic>
          </wp:inline>
        </w:drawing>
      </w:r>
    </w:p>
    <w:p w14:paraId="5B65AD3A" w14:textId="66B36901" w:rsidR="00F711BF" w:rsidRDefault="00F711BF" w:rsidP="00A5756B"/>
    <w:p w14:paraId="0BD02A87" w14:textId="66A72472" w:rsidR="00F711BF" w:rsidRDefault="004E5AD0" w:rsidP="00A5756B">
      <w:r>
        <w:t xml:space="preserve">Borttagande av mindre transaktioner och borttagande av extrema värden gör ändå att </w:t>
      </w:r>
      <w:r w:rsidR="00C140E7">
        <w:t>båda</w:t>
      </w:r>
      <w:r>
        <w:t xml:space="preserve"> dessa urval kan leva upp till kriterierna som Arbetsgruppen använt. I alla dessa fall har det varit minst fem transaktioner alla dagar i undersökningen. </w:t>
      </w:r>
    </w:p>
    <w:p w14:paraId="216CF27B" w14:textId="6B9F1393" w:rsidR="004E5AD0" w:rsidRDefault="004E5AD0" w:rsidP="00A5756B"/>
    <w:p w14:paraId="50BEE5C3" w14:textId="2A69C574" w:rsidR="004E5AD0" w:rsidRDefault="004E5AD0" w:rsidP="00A5756B">
      <w:r>
        <w:t xml:space="preserve">Sammanfattningsvis föreslår Arbetsgruppen att räntor baserade på endera av följande två kriterier för transaktioner hos rapporterande banker skulle kunna fungera som </w:t>
      </w:r>
      <w:r w:rsidR="00CD452F">
        <w:t xml:space="preserve">en </w:t>
      </w:r>
      <w:r>
        <w:t>nästan riskfri referensränta (RFR</w:t>
      </w:r>
      <w:r w:rsidR="00AA4B56">
        <w:t xml:space="preserve">): </w:t>
      </w:r>
    </w:p>
    <w:p w14:paraId="36C8BF58" w14:textId="77777777" w:rsidR="00C5131B" w:rsidRDefault="00C5131B" w:rsidP="00A5756B"/>
    <w:tbl>
      <w:tblPr>
        <w:tblStyle w:val="Tabellrutnt"/>
        <w:tblW w:w="0" w:type="auto"/>
        <w:tblLook w:val="04A0" w:firstRow="1" w:lastRow="0" w:firstColumn="1" w:lastColumn="0" w:noHBand="0" w:noVBand="1"/>
      </w:tblPr>
      <w:tblGrid>
        <w:gridCol w:w="2756"/>
        <w:gridCol w:w="2756"/>
        <w:gridCol w:w="2756"/>
      </w:tblGrid>
      <w:tr w:rsidR="00D42B10" w:rsidRPr="00D42B10" w14:paraId="6167555F" w14:textId="77777777" w:rsidTr="00D42B10">
        <w:tc>
          <w:tcPr>
            <w:tcW w:w="2756" w:type="dxa"/>
            <w:shd w:val="clear" w:color="auto" w:fill="F68B1F"/>
          </w:tcPr>
          <w:p w14:paraId="399B8896" w14:textId="77777777" w:rsidR="00D42B10" w:rsidRPr="00D42B10" w:rsidRDefault="00D42B10" w:rsidP="00A5756B">
            <w:pPr>
              <w:rPr>
                <w:b/>
                <w:color w:val="015BAC"/>
              </w:rPr>
            </w:pPr>
          </w:p>
        </w:tc>
        <w:tc>
          <w:tcPr>
            <w:tcW w:w="2756" w:type="dxa"/>
            <w:shd w:val="clear" w:color="auto" w:fill="F68B1F"/>
          </w:tcPr>
          <w:p w14:paraId="1ED3B238" w14:textId="611D9F56" w:rsidR="00D42B10" w:rsidRPr="00D42B10" w:rsidRDefault="00D42B10" w:rsidP="00A5756B">
            <w:pPr>
              <w:rPr>
                <w:b/>
                <w:color w:val="015BAC"/>
              </w:rPr>
            </w:pPr>
            <w:r w:rsidRPr="00D42B10">
              <w:rPr>
                <w:b/>
                <w:color w:val="015BAC"/>
              </w:rPr>
              <w:t>Alternativ a</w:t>
            </w:r>
          </w:p>
        </w:tc>
        <w:tc>
          <w:tcPr>
            <w:tcW w:w="2756" w:type="dxa"/>
            <w:shd w:val="clear" w:color="auto" w:fill="F68B1F"/>
          </w:tcPr>
          <w:p w14:paraId="3A68CC03" w14:textId="7298274F" w:rsidR="00D42B10" w:rsidRPr="00D42B10" w:rsidRDefault="00D42B10" w:rsidP="00A5756B">
            <w:pPr>
              <w:rPr>
                <w:b/>
                <w:color w:val="015BAC"/>
              </w:rPr>
            </w:pPr>
            <w:r w:rsidRPr="00D42B10">
              <w:rPr>
                <w:b/>
                <w:color w:val="015BAC"/>
              </w:rPr>
              <w:t>Alternativ b</w:t>
            </w:r>
          </w:p>
        </w:tc>
      </w:tr>
      <w:tr w:rsidR="00D42B10" w14:paraId="63BD27B1" w14:textId="77777777" w:rsidTr="00D42B10">
        <w:tc>
          <w:tcPr>
            <w:tcW w:w="2756" w:type="dxa"/>
          </w:tcPr>
          <w:p w14:paraId="544305E3" w14:textId="5F78F8AC" w:rsidR="00D42B10" w:rsidRDefault="00D42B10" w:rsidP="00A5756B">
            <w:r>
              <w:t>Typ</w:t>
            </w:r>
          </w:p>
        </w:tc>
        <w:tc>
          <w:tcPr>
            <w:tcW w:w="2756" w:type="dxa"/>
          </w:tcPr>
          <w:p w14:paraId="2A45B048" w14:textId="7A42EE57" w:rsidR="00D42B10" w:rsidRDefault="00D42B10" w:rsidP="00A5756B">
            <w:r>
              <w:t>In- &amp; utlåning</w:t>
            </w:r>
          </w:p>
        </w:tc>
        <w:tc>
          <w:tcPr>
            <w:tcW w:w="2756" w:type="dxa"/>
          </w:tcPr>
          <w:p w14:paraId="4E887353" w14:textId="2CA9D4DA" w:rsidR="00D42B10" w:rsidRDefault="00D42B10" w:rsidP="00A5756B">
            <w:r>
              <w:t>Inlåning</w:t>
            </w:r>
          </w:p>
        </w:tc>
      </w:tr>
      <w:tr w:rsidR="00D42B10" w14:paraId="66A448DE" w14:textId="77777777" w:rsidTr="00D42B10">
        <w:tc>
          <w:tcPr>
            <w:tcW w:w="2756" w:type="dxa"/>
          </w:tcPr>
          <w:p w14:paraId="6AA8AAC2" w14:textId="7E425B62" w:rsidR="00D42B10" w:rsidRDefault="00D42B10" w:rsidP="00A5756B">
            <w:r>
              <w:t>Motpart</w:t>
            </w:r>
          </w:p>
        </w:tc>
        <w:tc>
          <w:tcPr>
            <w:tcW w:w="2756" w:type="dxa"/>
          </w:tcPr>
          <w:p w14:paraId="63ABBF2C" w14:textId="0C6DCEF2" w:rsidR="00D42B10" w:rsidRDefault="00D42B10" w:rsidP="00A5756B">
            <w:r>
              <w:t>Bank, Riksgäld, Övriga finansiella institut</w:t>
            </w:r>
          </w:p>
        </w:tc>
        <w:tc>
          <w:tcPr>
            <w:tcW w:w="2756" w:type="dxa"/>
          </w:tcPr>
          <w:p w14:paraId="4ED1EE00" w14:textId="02D3396E" w:rsidR="00D42B10" w:rsidRDefault="00D42B10" w:rsidP="00A5756B">
            <w:r>
              <w:t>Bank, Riksgäld, Övriga finansiella institut</w:t>
            </w:r>
          </w:p>
        </w:tc>
      </w:tr>
      <w:tr w:rsidR="00D42B10" w14:paraId="2E8AC0FC" w14:textId="77777777" w:rsidTr="00D42B10">
        <w:tc>
          <w:tcPr>
            <w:tcW w:w="2756" w:type="dxa"/>
          </w:tcPr>
          <w:p w14:paraId="478C68CE" w14:textId="073706A1" w:rsidR="00D42B10" w:rsidRDefault="00D42B10" w:rsidP="00A5756B">
            <w:r>
              <w:t>Löptid</w:t>
            </w:r>
          </w:p>
        </w:tc>
        <w:tc>
          <w:tcPr>
            <w:tcW w:w="2756" w:type="dxa"/>
          </w:tcPr>
          <w:p w14:paraId="709D7FD9" w14:textId="54E7DD0C" w:rsidR="00D42B10" w:rsidRDefault="00D42B10" w:rsidP="00A5756B">
            <w:r>
              <w:t>O/N</w:t>
            </w:r>
          </w:p>
        </w:tc>
        <w:tc>
          <w:tcPr>
            <w:tcW w:w="2756" w:type="dxa"/>
          </w:tcPr>
          <w:p w14:paraId="653E9FF1" w14:textId="71D8637E" w:rsidR="00D42B10" w:rsidRDefault="00D42B10" w:rsidP="00A5756B">
            <w:r>
              <w:t>O/N</w:t>
            </w:r>
          </w:p>
        </w:tc>
      </w:tr>
      <w:tr w:rsidR="00D42B10" w14:paraId="165EBED0" w14:textId="77777777" w:rsidTr="00D42B10">
        <w:tc>
          <w:tcPr>
            <w:tcW w:w="2756" w:type="dxa"/>
          </w:tcPr>
          <w:p w14:paraId="1C1A549F" w14:textId="207A14FE" w:rsidR="00D42B10" w:rsidRDefault="00D42B10" w:rsidP="00A5756B">
            <w:r>
              <w:t>Säkerhet</w:t>
            </w:r>
          </w:p>
        </w:tc>
        <w:tc>
          <w:tcPr>
            <w:tcW w:w="2756" w:type="dxa"/>
          </w:tcPr>
          <w:p w14:paraId="392D1FC5" w14:textId="284C0A0F" w:rsidR="00D42B10" w:rsidRDefault="00D42B10" w:rsidP="00A5756B">
            <w:r>
              <w:t>Osäkrad</w:t>
            </w:r>
          </w:p>
        </w:tc>
        <w:tc>
          <w:tcPr>
            <w:tcW w:w="2756" w:type="dxa"/>
          </w:tcPr>
          <w:p w14:paraId="13289166" w14:textId="3EFBCD75" w:rsidR="00D42B10" w:rsidRDefault="00D42B10" w:rsidP="00A5756B">
            <w:r>
              <w:t>Osäkrad</w:t>
            </w:r>
          </w:p>
        </w:tc>
      </w:tr>
    </w:tbl>
    <w:p w14:paraId="73DBF988" w14:textId="77777777" w:rsidR="004B1D01" w:rsidRPr="004B1D01" w:rsidRDefault="004B1D01" w:rsidP="004B1D01"/>
    <w:p w14:paraId="7FF26873" w14:textId="0810F17A" w:rsidR="00AF7D47" w:rsidRDefault="004E5AD0"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lastRenderedPageBreak/>
        <w:t xml:space="preserve">Fråga 3: </w:t>
      </w:r>
      <w:r w:rsidR="00AF7D47">
        <w:t xml:space="preserve">Stödjer ni arbetsgruppens </w:t>
      </w:r>
      <w:r w:rsidR="003709C2">
        <w:t>slutsats</w:t>
      </w:r>
      <w:r w:rsidR="00AF7D47">
        <w:t xml:space="preserve"> om att alternativ A (O/N transaktioner utan säkerhet, med banker, övriga finansiella institut och riksgälden) och alternativ B (O/N transaktioner utan säkerhet, med banker, övriga finansiella institut och riksgälden,</w:t>
      </w:r>
      <w:r w:rsidR="00AF7D47" w:rsidDel="00A568FC">
        <w:t xml:space="preserve"> </w:t>
      </w:r>
      <w:r w:rsidR="00AF7D47">
        <w:t>men endast baserad på transaktioner vilka skapar inlåning hos den rapporterande banken)</w:t>
      </w:r>
      <w:r w:rsidR="00107ADF">
        <w:t xml:space="preserve">, </w:t>
      </w:r>
      <w:r w:rsidR="00AF7D47">
        <w:t xml:space="preserve">uppfyller de kriterier som krävs för en alternativ referensränta? </w:t>
      </w:r>
    </w:p>
    <w:p w14:paraId="2F35B807" w14:textId="1E18D71B" w:rsidR="004E5AD0" w:rsidRDefault="00AF7D47"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Vänligen motivera för eller emot. </w:t>
      </w:r>
      <w:r w:rsidR="00AA4B56">
        <w:t xml:space="preserve"> </w:t>
      </w:r>
    </w:p>
    <w:p w14:paraId="3AE1BD69" w14:textId="27C419E5" w:rsidR="004E5AD0" w:rsidRDefault="004E5AD0"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Svar </w:t>
      </w:r>
      <w:r w:rsidR="00AA4B56">
        <w:t>3</w:t>
      </w:r>
      <w:r>
        <w:t xml:space="preserve">: </w:t>
      </w:r>
    </w:p>
    <w:p w14:paraId="292228E1" w14:textId="370DD315" w:rsidR="0087154C" w:rsidRDefault="0087154C"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Fråga 4: Anser ni att det finns </w:t>
      </w:r>
      <w:r w:rsidR="00AF7D47">
        <w:t xml:space="preserve">ytterligare </w:t>
      </w:r>
      <w:r>
        <w:t xml:space="preserve">aspekter som inte </w:t>
      </w:r>
      <w:r w:rsidR="00AF7D47">
        <w:t xml:space="preserve">har </w:t>
      </w:r>
      <w:r>
        <w:t>tagits upp</w:t>
      </w:r>
      <w:r w:rsidR="00AF7D47">
        <w:t>, men</w:t>
      </w:r>
      <w:r>
        <w:t xml:space="preserve"> som kan stärka </w:t>
      </w:r>
      <w:r w:rsidR="00AF7D47">
        <w:t xml:space="preserve">alternativt </w:t>
      </w:r>
      <w:r>
        <w:t xml:space="preserve">motarbeta dessa val? </w:t>
      </w:r>
    </w:p>
    <w:p w14:paraId="14A5E055" w14:textId="1DF89A5E" w:rsidR="0087154C" w:rsidRDefault="0087154C" w:rsidP="004E5AD0">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Svar 4:</w:t>
      </w:r>
    </w:p>
    <w:p w14:paraId="690BA60C" w14:textId="1B2130EC" w:rsidR="009D73FB" w:rsidRDefault="00075FD6" w:rsidP="009D73FB">
      <w:pPr>
        <w:pStyle w:val="Rubrik1"/>
      </w:pPr>
      <w:bookmarkStart w:id="14" w:name="_Toc5118749"/>
      <w:r>
        <w:t>3</w:t>
      </w:r>
      <w:r w:rsidR="009D73FB">
        <w:t>. Det fortsatta arbetet</w:t>
      </w:r>
      <w:bookmarkEnd w:id="14"/>
    </w:p>
    <w:p w14:paraId="50F9B9D9" w14:textId="4E4C75B7" w:rsidR="004B3EAA" w:rsidRDefault="004B3EAA" w:rsidP="004B3EAA">
      <w:r>
        <w:t xml:space="preserve">Arbetsgruppen för alternativa referensräntor kommer ta till sig de synpunkter som kommer in via denna konsultation och genom övriga kontakter med marknadens aktörer. Beslut om vilken ränta som Arbetsgruppen </w:t>
      </w:r>
      <w:r w:rsidR="002B5768">
        <w:t xml:space="preserve">senare kan komma </w:t>
      </w:r>
      <w:r>
        <w:t xml:space="preserve">att rekommendera </w:t>
      </w:r>
      <w:r w:rsidR="002B5768">
        <w:t xml:space="preserve">tas </w:t>
      </w:r>
      <w:r w:rsidR="000F42C1">
        <w:t>efter att konsultationstiden löpt ut</w:t>
      </w:r>
      <w:r>
        <w:t xml:space="preserve">. Under det fortsatta arbetet inom Arbetsgruppen kan det </w:t>
      </w:r>
      <w:r w:rsidR="002B5768">
        <w:t>också till</w:t>
      </w:r>
      <w:r>
        <w:t xml:space="preserve">komma fakta som inte </w:t>
      </w:r>
      <w:r w:rsidR="002B5768">
        <w:t xml:space="preserve">tidigare </w:t>
      </w:r>
      <w:r>
        <w:t>har beakta</w:t>
      </w:r>
      <w:r w:rsidR="002B5768">
        <w:t>t</w:t>
      </w:r>
      <w:r>
        <w:t xml:space="preserve">s </w:t>
      </w:r>
      <w:r w:rsidR="002B5768">
        <w:t xml:space="preserve">och </w:t>
      </w:r>
      <w:r>
        <w:t xml:space="preserve">som gör att det finns skäl </w:t>
      </w:r>
      <w:r w:rsidR="002B5768">
        <w:t xml:space="preserve">till </w:t>
      </w:r>
      <w:r>
        <w:t xml:space="preserve">att ompröva </w:t>
      </w:r>
      <w:r w:rsidR="002B5768">
        <w:t xml:space="preserve">gruppens rekommendation </w:t>
      </w:r>
      <w:r>
        <w:t xml:space="preserve">av referensränta. Likaså kan den pågående globala utvecklingen med alternativa referensräntor påverka </w:t>
      </w:r>
      <w:r w:rsidR="002B5768">
        <w:t>arbetsgruppens kommande rekommendation</w:t>
      </w:r>
      <w:r>
        <w:t xml:space="preserve">. </w:t>
      </w:r>
    </w:p>
    <w:p w14:paraId="670341F0" w14:textId="03058F86" w:rsidR="00BE5BB8" w:rsidRDefault="00BE5BB8" w:rsidP="004B3EAA"/>
    <w:p w14:paraId="075FBA69" w14:textId="3BF741A2" w:rsidR="00BE5BB8" w:rsidRDefault="00075FD6" w:rsidP="00BE5BB8">
      <w:pPr>
        <w:pStyle w:val="Rubrik1"/>
      </w:pPr>
      <w:bookmarkStart w:id="15" w:name="_Toc5118750"/>
      <w:r>
        <w:t>4</w:t>
      </w:r>
      <w:r w:rsidR="00BE5BB8">
        <w:t>. Sammanfattning av frågor</w:t>
      </w:r>
      <w:bookmarkEnd w:id="15"/>
    </w:p>
    <w:p w14:paraId="1E93D2D1" w14:textId="77777777" w:rsidR="007E369D" w:rsidRDefault="007E369D" w:rsidP="007E369D">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Fråga 1: Är ovan angivna urvalskriterier lämpliga för att ta fram en transaktionsbaserad kort referensränta (RFR)? Vad är inte relevant? Vilka ytterligare kriterier kan vara lämpliga att ta med? </w:t>
      </w:r>
    </w:p>
    <w:p w14:paraId="280B5F4A" w14:textId="77777777" w:rsidR="007E369D" w:rsidRDefault="007E369D" w:rsidP="007E369D">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Svar: </w:t>
      </w:r>
    </w:p>
    <w:p w14:paraId="676F093E" w14:textId="77777777" w:rsidR="0027795F"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Fråga 2: Stödjer ni arbetsgruppens slutsats att räntor baserade på tremånaderstransaktioner och T/N-transaktioner inte uppfyller kriterierna för en lämplig referensränta? Finns det andra skäl till varför någon av dessa transaktionsbaserade räntor skulle föreslås?</w:t>
      </w:r>
    </w:p>
    <w:p w14:paraId="29C28BD5" w14:textId="77777777" w:rsidR="0027795F"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Svar 2: </w:t>
      </w:r>
    </w:p>
    <w:p w14:paraId="3916FD68" w14:textId="77777777" w:rsidR="0027795F"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Fråga 3: Stödjer ni arbetsgruppens slutsats om att alternativ A (O/N transaktioner utan säkerhet, med banker, övriga finansiella institut och riksgälden) och alternativ B (O/N transaktioner utan säkerhet, med banker, övriga finansiella institut och riksgälden,</w:t>
      </w:r>
      <w:r w:rsidDel="00A568FC">
        <w:t xml:space="preserve"> </w:t>
      </w:r>
      <w:r>
        <w:t xml:space="preserve">men endast baserad på transaktioner vilka skapar inlåning hos den rapporterande banken), uppfyller de kriterier som krävs för en alternativ referensränta? </w:t>
      </w:r>
    </w:p>
    <w:p w14:paraId="42043EB2" w14:textId="77777777" w:rsidR="0027795F"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Vänligen motivera för eller emot.  </w:t>
      </w:r>
    </w:p>
    <w:p w14:paraId="37E60A2E" w14:textId="77777777" w:rsidR="0027795F"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 xml:space="preserve">Svar 3: </w:t>
      </w:r>
    </w:p>
    <w:p w14:paraId="0F21668C" w14:textId="77777777" w:rsidR="0027795F" w:rsidRDefault="0027795F" w:rsidP="0027795F">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lastRenderedPageBreak/>
        <w:t xml:space="preserve">Fråga 4: Anser ni att det finns ytterligare aspekter som inte har tagits upp, men som kan stärka alternativt motarbeta dessa val? </w:t>
      </w:r>
    </w:p>
    <w:p w14:paraId="3EB2E381" w14:textId="20B07C68" w:rsidR="00017808" w:rsidRDefault="0027795F" w:rsidP="00C5131B">
      <w:pPr>
        <w:pBdr>
          <w:top w:val="single" w:sz="4" w:space="1" w:color="auto" w:shadow="1"/>
          <w:left w:val="single" w:sz="4" w:space="4" w:color="auto" w:shadow="1"/>
          <w:bottom w:val="single" w:sz="4" w:space="1" w:color="auto" w:shadow="1"/>
          <w:right w:val="single" w:sz="4" w:space="4" w:color="auto" w:shadow="1"/>
        </w:pBdr>
        <w:shd w:val="clear" w:color="auto" w:fill="DFF1F8" w:themeFill="accent2" w:themeFillTint="33"/>
      </w:pPr>
      <w:r>
        <w:t>Svar 4:</w:t>
      </w:r>
    </w:p>
    <w:sectPr w:rsidR="00017808" w:rsidSect="00E932E1">
      <w:headerReference w:type="default" r:id="rId13"/>
      <w:headerReference w:type="first" r:id="rId14"/>
      <w:footerReference w:type="first" r:id="rId15"/>
      <w:pgSz w:w="11907" w:h="16839" w:code="9"/>
      <w:pgMar w:top="2835" w:right="1304" w:bottom="1361" w:left="2325"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B6E85" w14:textId="77777777" w:rsidR="00F1065A" w:rsidRDefault="00F1065A" w:rsidP="00A75A57">
      <w:pPr>
        <w:spacing w:line="240" w:lineRule="auto"/>
      </w:pPr>
      <w:r>
        <w:separator/>
      </w:r>
    </w:p>
  </w:endnote>
  <w:endnote w:type="continuationSeparator" w:id="0">
    <w:p w14:paraId="157B329D" w14:textId="77777777" w:rsidR="00F1065A" w:rsidRDefault="00F1065A" w:rsidP="00A75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tblpY="14686"/>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F1065A" w14:paraId="4C100859" w14:textId="77777777" w:rsidTr="00E932E1">
      <w:trPr>
        <w:cantSplit/>
        <w:trHeight w:hRule="exact" w:val="851"/>
      </w:trPr>
      <w:tc>
        <w:tcPr>
          <w:tcW w:w="8222" w:type="dxa"/>
          <w:shd w:val="clear" w:color="auto" w:fill="auto"/>
          <w:tcMar>
            <w:left w:w="0" w:type="dxa"/>
            <w:right w:w="0" w:type="dxa"/>
          </w:tcMar>
        </w:tcPr>
        <w:p w14:paraId="09EC5F48" w14:textId="77777777" w:rsidR="00F1065A" w:rsidRDefault="00F1065A" w:rsidP="00E932E1">
          <w:pPr>
            <w:pStyle w:val="Sidfot"/>
          </w:pPr>
        </w:p>
      </w:tc>
    </w:tr>
    <w:tr w:rsidR="00F1065A" w14:paraId="600F40CE" w14:textId="77777777" w:rsidTr="00E932E1">
      <w:trPr>
        <w:cantSplit/>
        <w:trHeight w:val="283"/>
      </w:trPr>
      <w:tc>
        <w:tcPr>
          <w:tcW w:w="8222" w:type="dxa"/>
          <w:shd w:val="clear" w:color="auto" w:fill="auto"/>
          <w:tcMar>
            <w:left w:w="0" w:type="dxa"/>
            <w:right w:w="0" w:type="dxa"/>
          </w:tcMar>
        </w:tcPr>
        <w:p w14:paraId="1E1D2B35" w14:textId="77777777" w:rsidR="00F1065A" w:rsidRDefault="00F1065A" w:rsidP="00E932E1">
          <w:pPr>
            <w:pStyle w:val="Sidfot"/>
          </w:pPr>
          <w:bookmarkStart w:id="23" w:name="xxFooterCell1"/>
          <w:bookmarkStart w:id="24" w:name="xxAddressCell1"/>
          <w:bookmarkStart w:id="25" w:name="xxAddress1"/>
          <w:bookmarkStart w:id="26" w:name="xxFooter1"/>
          <w:bookmarkEnd w:id="23"/>
          <w:bookmarkEnd w:id="24"/>
          <w:bookmarkEnd w:id="25"/>
          <w:bookmarkEnd w:id="26"/>
        </w:p>
      </w:tc>
    </w:tr>
  </w:tbl>
  <w:p w14:paraId="443613A6" w14:textId="77777777" w:rsidR="00F1065A" w:rsidRPr="0038209D" w:rsidRDefault="00F1065A" w:rsidP="0038209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D7E16" w14:textId="77777777" w:rsidR="00F1065A" w:rsidRDefault="00F1065A" w:rsidP="00A75A57">
      <w:pPr>
        <w:spacing w:line="240" w:lineRule="auto"/>
      </w:pPr>
      <w:r>
        <w:separator/>
      </w:r>
    </w:p>
  </w:footnote>
  <w:footnote w:type="continuationSeparator" w:id="0">
    <w:p w14:paraId="27CD109E" w14:textId="77777777" w:rsidR="00F1065A" w:rsidRDefault="00F1065A" w:rsidP="00A75A57">
      <w:pPr>
        <w:spacing w:line="240" w:lineRule="auto"/>
      </w:pPr>
      <w:r>
        <w:continuationSeparator/>
      </w:r>
    </w:p>
  </w:footnote>
  <w:footnote w:id="1">
    <w:p w14:paraId="3F11B875" w14:textId="0EF92B0E" w:rsidR="00F1065A" w:rsidRDefault="00F1065A">
      <w:pPr>
        <w:pStyle w:val="Fotnotstext"/>
      </w:pPr>
      <w:r>
        <w:rPr>
          <w:rStyle w:val="Fotnotsreferens"/>
        </w:rPr>
        <w:footnoteRef/>
      </w:r>
      <w:r>
        <w:t xml:space="preserve"> </w:t>
      </w:r>
      <w:hyperlink r:id="rId1" w:history="1">
        <w:r w:rsidRPr="003C2D61">
          <w:rPr>
            <w:rStyle w:val="Hyperlnk"/>
          </w:rPr>
          <w:t>http://www.fsb.org/2014/07/r_140722b/</w:t>
        </w:r>
      </w:hyperlink>
      <w:r>
        <w:t xml:space="preserve"> </w:t>
      </w:r>
    </w:p>
  </w:footnote>
  <w:footnote w:id="2">
    <w:p w14:paraId="47B4E9A0" w14:textId="1E311691" w:rsidR="00F1065A" w:rsidRDefault="00F1065A">
      <w:pPr>
        <w:pStyle w:val="Fotnotstext"/>
      </w:pPr>
      <w:r>
        <w:rPr>
          <w:rStyle w:val="Fotnotsreferens"/>
        </w:rPr>
        <w:footnoteRef/>
      </w:r>
      <w:r>
        <w:t xml:space="preserve"> </w:t>
      </w:r>
      <w:hyperlink r:id="rId2" w:history="1">
        <w:r w:rsidRPr="003C2D61">
          <w:rPr>
            <w:rStyle w:val="Hyperlnk"/>
          </w:rPr>
          <w:t>https://eur-lex.europa.eu/legal-content/SV/TXT/?uri=CELEX%3A32016R1011</w:t>
        </w:r>
      </w:hyperlink>
      <w:r>
        <w:t xml:space="preserve"> </w:t>
      </w:r>
    </w:p>
  </w:footnote>
  <w:footnote w:id="3">
    <w:p w14:paraId="14BEF6DA" w14:textId="2BE85C4B" w:rsidR="00F1065A" w:rsidRDefault="00F1065A">
      <w:pPr>
        <w:pStyle w:val="Fotnotstext"/>
      </w:pPr>
      <w:r>
        <w:rPr>
          <w:rStyle w:val="Fotnotsreferens"/>
        </w:rPr>
        <w:footnoteRef/>
      </w:r>
      <w:r>
        <w:t xml:space="preserve"> </w:t>
      </w:r>
      <w:hyperlink r:id="rId3" w:history="1">
        <w:r w:rsidRPr="003C2D61">
          <w:rPr>
            <w:rStyle w:val="Hyperlnk"/>
          </w:rPr>
          <w:t>https://www.swedishbankers.se/fraagor-vi-arbetar-med/arbetsgruppen-foer-alternativa-raentor/uppdragsbeskrivning-foer-arbetsgruppen/</w:t>
        </w:r>
      </w:hyperlink>
      <w:r>
        <w:t xml:space="preserve"> </w:t>
      </w:r>
    </w:p>
  </w:footnote>
  <w:footnote w:id="4">
    <w:p w14:paraId="443E2110" w14:textId="277C92EF" w:rsidR="008F37A9" w:rsidRDefault="008F37A9">
      <w:pPr>
        <w:pStyle w:val="Fotnotstext"/>
      </w:pPr>
      <w:r>
        <w:rPr>
          <w:rStyle w:val="Fotnotsreferens"/>
        </w:rPr>
        <w:footnoteRef/>
      </w:r>
      <w:r>
        <w:t xml:space="preserve"> </w:t>
      </w:r>
      <w:hyperlink r:id="rId4" w:history="1">
        <w:r>
          <w:rPr>
            <w:rStyle w:val="Hyperlnk"/>
            <w:rFonts w:eastAsiaTheme="majorEastAsia"/>
            <w:i/>
            <w:iCs/>
          </w:rPr>
          <w:t>http://europa.eu/rapid/press-release_IP-19-1418_en.htm</w:t>
        </w:r>
      </w:hyperlink>
    </w:p>
  </w:footnote>
  <w:footnote w:id="5">
    <w:p w14:paraId="245DB835" w14:textId="6F0EE519" w:rsidR="00F1065A" w:rsidRDefault="00F1065A">
      <w:pPr>
        <w:pStyle w:val="Fotnotstext"/>
      </w:pPr>
      <w:r>
        <w:rPr>
          <w:rStyle w:val="Fotnotsreferens"/>
        </w:rPr>
        <w:footnoteRef/>
      </w:r>
      <w:r>
        <w:t xml:space="preserve"> Nordea, Handelsbanken, SEB, Swedbank, Danske, SBAB och LF-bank</w:t>
      </w:r>
    </w:p>
  </w:footnote>
  <w:footnote w:id="6">
    <w:p w14:paraId="0B2A65A5" w14:textId="77777777" w:rsidR="00F1065A" w:rsidRDefault="00F1065A" w:rsidP="00F324A4">
      <w:pPr>
        <w:rPr>
          <w:rFonts w:ascii="Calibri" w:hAnsi="Calibri" w:cs="Calibri"/>
          <w:color w:val="auto"/>
          <w:szCs w:val="22"/>
        </w:rPr>
      </w:pPr>
      <w:r>
        <w:rPr>
          <w:rStyle w:val="Fotnotsreferens"/>
        </w:rPr>
        <w:footnoteRef/>
      </w:r>
      <w:r>
        <w:t xml:space="preserve"> </w:t>
      </w:r>
      <w:hyperlink r:id="rId5" w:history="1">
        <w:r>
          <w:rPr>
            <w:rStyle w:val="Hyperlnk"/>
            <w:rFonts w:eastAsiaTheme="majorEastAsia"/>
          </w:rPr>
          <w:t>https://www.riksbank.se/sv/penningpolitik/genomforande-av-penningpolitiska-beslut/</w:t>
        </w:r>
      </w:hyperlink>
    </w:p>
    <w:p w14:paraId="1774BD10" w14:textId="4AB4DFF8" w:rsidR="00F1065A" w:rsidRDefault="00F1065A">
      <w:pPr>
        <w:pStyle w:val="Fotnotstext"/>
      </w:pPr>
    </w:p>
  </w:footnote>
  <w:footnote w:id="7">
    <w:p w14:paraId="2CA93C95" w14:textId="77777777" w:rsidR="00F1065A" w:rsidRDefault="00F1065A" w:rsidP="00F324A4">
      <w:pPr>
        <w:rPr>
          <w:rFonts w:ascii="Calibri" w:hAnsi="Calibri" w:cs="Calibri"/>
          <w:color w:val="auto"/>
          <w:szCs w:val="22"/>
        </w:rPr>
      </w:pPr>
      <w:r>
        <w:rPr>
          <w:rStyle w:val="Fotnotsreferens"/>
        </w:rPr>
        <w:footnoteRef/>
      </w:r>
      <w:r>
        <w:t xml:space="preserve"> </w:t>
      </w:r>
      <w:hyperlink r:id="rId6" w:history="1">
        <w:r>
          <w:rPr>
            <w:rStyle w:val="Hyperlnk"/>
            <w:rFonts w:eastAsiaTheme="majorEastAsia"/>
          </w:rPr>
          <w:t>https://www.riksbank.se/globalassets/media/rapporter/ovriga-rapporter/riksbankens-penningpolitiska-styrsystem---overgripande-beskrivning.pdf</w:t>
        </w:r>
      </w:hyperlink>
    </w:p>
    <w:p w14:paraId="16E72DFD" w14:textId="3BA778B4" w:rsidR="00F1065A" w:rsidRDefault="00F1065A">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1065A" w14:paraId="724E00E3" w14:textId="77777777" w:rsidTr="00461383">
      <w:trPr>
        <w:cantSplit/>
        <w:trHeight w:val="1814"/>
      </w:trPr>
      <w:tc>
        <w:tcPr>
          <w:tcW w:w="4820" w:type="dxa"/>
          <w:shd w:val="clear" w:color="auto" w:fill="auto"/>
          <w:tcMar>
            <w:left w:w="0" w:type="dxa"/>
            <w:right w:w="0" w:type="dxa"/>
          </w:tcMar>
        </w:tcPr>
        <w:p w14:paraId="24F8A7E7" w14:textId="40115BDA" w:rsidR="00F1065A" w:rsidRDefault="00F1065A" w:rsidP="00461383">
          <w:pPr>
            <w:pStyle w:val="Sidfot"/>
          </w:pPr>
          <w:bookmarkStart w:id="16" w:name="xxLogga2"/>
          <w:bookmarkStart w:id="17" w:name="xxHeader2" w:colFirst="0" w:colLast="0"/>
          <w:bookmarkEnd w:id="16"/>
          <w:r>
            <w:rPr>
              <w:noProof/>
            </w:rPr>
            <w:drawing>
              <wp:inline distT="0" distB="0" distL="0" distR="0" wp14:anchorId="0B6A07FA" wp14:editId="7DC0CBC5">
                <wp:extent cx="2919984" cy="792480"/>
                <wp:effectExtent l="0" t="0" r="0" b="7620"/>
                <wp:docPr id="2" name="Bildobjekt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17"/>
  </w:tbl>
  <w:p w14:paraId="3584F89B" w14:textId="19BF28B9" w:rsidR="00F1065A" w:rsidRPr="00255D6D" w:rsidRDefault="00F1065A" w:rsidP="006778F5">
    <w:pPr>
      <w:pStyle w:val="Sidhuvud"/>
      <w:jc w:val="right"/>
      <w:rPr>
        <w:b/>
        <w:color w:val="0070C0"/>
        <w:sz w:val="22"/>
      </w:rPr>
    </w:pPr>
  </w:p>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F1065A" w14:paraId="08099D7C" w14:textId="77777777" w:rsidTr="00074B9C">
      <w:trPr>
        <w:trHeight w:hRule="exact" w:val="850"/>
      </w:trPr>
      <w:tc>
        <w:tcPr>
          <w:tcW w:w="3402" w:type="dxa"/>
        </w:tcPr>
        <w:p w14:paraId="49421AC4" w14:textId="77777777" w:rsidR="00F1065A" w:rsidRDefault="00F1065A" w:rsidP="00475577">
          <w:pPr>
            <w:pStyle w:val="Sidhuvud"/>
            <w:jc w:val="right"/>
          </w:pPr>
          <w:bookmarkStart w:id="18" w:name="xxHeaderText2"/>
          <w:bookmarkEnd w:id="18"/>
        </w:p>
      </w:tc>
    </w:tr>
    <w:bookmarkStart w:id="19" w:name="xxPageNo2" w:colFirst="0" w:colLast="0"/>
    <w:tr w:rsidR="00F1065A" w14:paraId="251F194D" w14:textId="77777777" w:rsidTr="00074B9C">
      <w:trPr>
        <w:trHeight w:hRule="exact" w:val="340"/>
      </w:trPr>
      <w:tc>
        <w:tcPr>
          <w:tcW w:w="3402" w:type="dxa"/>
          <w:vAlign w:val="bottom"/>
        </w:tcPr>
        <w:p w14:paraId="73EB4E13" w14:textId="77777777" w:rsidR="00F1065A" w:rsidRDefault="00F1065A" w:rsidP="00475577">
          <w:pPr>
            <w:pStyle w:val="Sidhuvud"/>
            <w:jc w:val="right"/>
          </w:pPr>
          <w:r>
            <w:fldChar w:fldCharType="begin"/>
          </w:r>
          <w:r>
            <w:instrText xml:space="preserve"> PAGE \* MERGEFORMAT </w:instrText>
          </w:r>
          <w:r>
            <w:fldChar w:fldCharType="separate"/>
          </w:r>
          <w:r>
            <w:rPr>
              <w:noProof/>
            </w:rPr>
            <w:t>10</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r>
            <w:t>)</w:t>
          </w:r>
        </w:p>
      </w:tc>
    </w:tr>
    <w:bookmarkEnd w:id="19"/>
  </w:tbl>
  <w:p w14:paraId="351A761E" w14:textId="77777777" w:rsidR="00F1065A" w:rsidRDefault="00F1065A" w:rsidP="006778F5">
    <w:pPr>
      <w:pStyle w:val="Sidhuvud"/>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81" w:rightFromText="181" w:vertAnchor="page" w:tblpXSpec="right" w:tblpY="852"/>
      <w:tblOverlap w:val="never"/>
      <w:tblW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tblGrid>
    <w:tr w:rsidR="00F1065A" w14:paraId="34EE573A" w14:textId="77777777" w:rsidTr="00BC1FB2">
      <w:trPr>
        <w:trHeight w:hRule="exact" w:val="851"/>
      </w:trPr>
      <w:tc>
        <w:tcPr>
          <w:tcW w:w="3402" w:type="dxa"/>
        </w:tcPr>
        <w:p w14:paraId="4418141F" w14:textId="77777777" w:rsidR="00F1065A" w:rsidRPr="00A5756B" w:rsidRDefault="00F1065A" w:rsidP="00E56F31">
          <w:pPr>
            <w:pStyle w:val="Etikett"/>
            <w:rPr>
              <w:sz w:val="12"/>
            </w:rPr>
          </w:pPr>
          <w:r w:rsidRPr="00A5756B">
            <w:rPr>
              <w:b/>
              <w:caps/>
              <w:sz w:val="20"/>
            </w:rPr>
            <w:t>Arbetsgruppen för alternativa referensränt</w:t>
          </w:r>
          <w:r>
            <w:rPr>
              <w:b/>
              <w:caps/>
              <w:sz w:val="20"/>
            </w:rPr>
            <w:t>or</w:t>
          </w:r>
          <w:r w:rsidRPr="00A5756B">
            <w:rPr>
              <w:b/>
              <w:caps/>
              <w:sz w:val="20"/>
            </w:rPr>
            <w:t xml:space="preserve"> </w:t>
          </w:r>
        </w:p>
        <w:p w14:paraId="6AC8D05C" w14:textId="77777777" w:rsidR="00F1065A" w:rsidRPr="00E56F31" w:rsidRDefault="00F1065A" w:rsidP="0099402B">
          <w:pPr>
            <w:pStyle w:val="Sidhuvud"/>
            <w:jc w:val="right"/>
            <w:rPr>
              <w:b/>
              <w:sz w:val="28"/>
              <w:szCs w:val="28"/>
            </w:rPr>
          </w:pPr>
        </w:p>
      </w:tc>
    </w:tr>
    <w:bookmarkStart w:id="20" w:name="xxPageNo1" w:colFirst="0" w:colLast="0"/>
    <w:tr w:rsidR="00F1065A" w14:paraId="12B9AEDF" w14:textId="77777777" w:rsidTr="007E1A90">
      <w:trPr>
        <w:trHeight w:hRule="exact" w:val="340"/>
      </w:trPr>
      <w:tc>
        <w:tcPr>
          <w:tcW w:w="3402" w:type="dxa"/>
          <w:vAlign w:val="bottom"/>
        </w:tcPr>
        <w:p w14:paraId="36952503" w14:textId="77777777" w:rsidR="00F1065A" w:rsidRDefault="00F1065A" w:rsidP="0099402B">
          <w:pPr>
            <w:pStyle w:val="Sidhuvud"/>
            <w:jc w:val="right"/>
          </w:pPr>
          <w:r>
            <w:fldChar w:fldCharType="begin"/>
          </w:r>
          <w:r>
            <w:instrText xml:space="preserve"> PAGE \* MERGEFORMAT </w:instrText>
          </w:r>
          <w:r>
            <w:fldChar w:fldCharType="separate"/>
          </w:r>
          <w:r>
            <w:rPr>
              <w:noProof/>
            </w:rPr>
            <w:t>1</w:t>
          </w:r>
          <w:r>
            <w:fldChar w:fldCharType="end"/>
          </w:r>
          <w:r>
            <w:t xml:space="preserve">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r>
            <w:t>)</w:t>
          </w:r>
        </w:p>
      </w:tc>
    </w:tr>
    <w:bookmarkEnd w:id="20"/>
  </w:tbl>
  <w:p w14:paraId="78765F20" w14:textId="77777777" w:rsidR="00F1065A" w:rsidRDefault="00F1065A" w:rsidP="00F26D2A">
    <w:pPr>
      <w:pStyle w:val="Sidhuvud"/>
      <w:jc w:val="right"/>
    </w:pPr>
  </w:p>
  <w:tbl>
    <w:tblPr>
      <w:tblStyle w:val="Tabellrutnt"/>
      <w:tblpPr w:leftFromText="142" w:rightFromText="142" w:vertAnchor="page" w:horzAnchor="page" w:tblpX="908" w:tblpY="852"/>
      <w:tblW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F1065A" w14:paraId="6C6EE87D" w14:textId="77777777" w:rsidTr="00B446BA">
      <w:trPr>
        <w:cantSplit/>
        <w:trHeight w:val="1814"/>
      </w:trPr>
      <w:tc>
        <w:tcPr>
          <w:tcW w:w="4820" w:type="dxa"/>
          <w:shd w:val="clear" w:color="auto" w:fill="auto"/>
          <w:tcMar>
            <w:left w:w="0" w:type="dxa"/>
            <w:right w:w="0" w:type="dxa"/>
          </w:tcMar>
        </w:tcPr>
        <w:p w14:paraId="702C3EB7" w14:textId="6B6E8E0F" w:rsidR="00F1065A" w:rsidRDefault="00F1065A" w:rsidP="00B446BA">
          <w:pPr>
            <w:pStyle w:val="Sidfot"/>
          </w:pPr>
          <w:bookmarkStart w:id="21" w:name="xxLogga1"/>
          <w:bookmarkStart w:id="22" w:name="xxHeader1" w:colFirst="0" w:colLast="0"/>
          <w:bookmarkEnd w:id="21"/>
          <w:r>
            <w:rPr>
              <w:noProof/>
            </w:rPr>
            <w:drawing>
              <wp:inline distT="0" distB="0" distL="0" distR="0" wp14:anchorId="68564F7B" wp14:editId="523418E5">
                <wp:extent cx="2919984" cy="792480"/>
                <wp:effectExtent l="0" t="0" r="0" b="7620"/>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19984" cy="792480"/>
                        </a:xfrm>
                        <a:prstGeom prst="rect">
                          <a:avLst/>
                        </a:prstGeom>
                      </pic:spPr>
                    </pic:pic>
                  </a:graphicData>
                </a:graphic>
              </wp:inline>
            </w:drawing>
          </w:r>
        </w:p>
      </w:tc>
    </w:tr>
    <w:bookmarkEnd w:id="22"/>
  </w:tbl>
  <w:p w14:paraId="75DA06E8" w14:textId="77777777" w:rsidR="00F1065A" w:rsidRDefault="00F1065A" w:rsidP="006778F5">
    <w:pPr>
      <w:pStyle w:val="Sidhuvu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0EDE5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0724526"/>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3" w15:restartNumberingAfterBreak="0">
    <w:nsid w:val="070A349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840AC5"/>
    <w:multiLevelType w:val="multilevel"/>
    <w:tmpl w:val="FFD8C356"/>
    <w:lvl w:ilvl="0">
      <w:start w:val="1"/>
      <w:numFmt w:val="decimal"/>
      <w:lvlRestart w:val="0"/>
      <w:lvlText w:val="%1)"/>
      <w:lvlJc w:val="left"/>
      <w:pPr>
        <w:tabs>
          <w:tab w:val="num" w:pos="964"/>
        </w:tabs>
        <w:ind w:left="964" w:hanging="964"/>
      </w:pPr>
    </w:lvl>
    <w:lvl w:ilvl="1">
      <w:start w:val="1"/>
      <w:numFmt w:val="decimal"/>
      <w:lvlText w:val="%1.%2)"/>
      <w:lvlJc w:val="left"/>
      <w:pPr>
        <w:tabs>
          <w:tab w:val="num" w:pos="964"/>
        </w:tabs>
        <w:ind w:left="964" w:hanging="964"/>
      </w:pPr>
    </w:lvl>
    <w:lvl w:ilvl="2">
      <w:start w:val="1"/>
      <w:numFmt w:val="decimal"/>
      <w:lvlText w:val="%1.%2.%3)"/>
      <w:lvlJc w:val="left"/>
      <w:pPr>
        <w:tabs>
          <w:tab w:val="num" w:pos="964"/>
        </w:tabs>
        <w:ind w:left="964" w:hanging="964"/>
      </w:pPr>
    </w:lvl>
    <w:lvl w:ilvl="3">
      <w:start w:val="1"/>
      <w:numFmt w:val="decimal"/>
      <w:lvlText w:val="%1.%2.%3.%4)"/>
      <w:lvlJc w:val="left"/>
      <w:pPr>
        <w:tabs>
          <w:tab w:val="num" w:pos="964"/>
        </w:tabs>
        <w:ind w:left="964" w:hanging="9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6" w15:restartNumberingAfterBreak="0">
    <w:nsid w:val="0826563C"/>
    <w:multiLevelType w:val="hybridMultilevel"/>
    <w:tmpl w:val="FFE4814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0CB6207"/>
    <w:multiLevelType w:val="multilevel"/>
    <w:tmpl w:val="32A0A6BE"/>
    <w:numStyleLink w:val="CompanyListBullet"/>
  </w:abstractNum>
  <w:abstractNum w:abstractNumId="8" w15:restartNumberingAfterBreak="0">
    <w:nsid w:val="116B58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43572B8"/>
    <w:multiLevelType w:val="multilevel"/>
    <w:tmpl w:val="E2C2C77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0" w15:restartNumberingAfterBreak="0">
    <w:nsid w:val="14C9148F"/>
    <w:multiLevelType w:val="multilevel"/>
    <w:tmpl w:val="F23C9072"/>
    <w:numStyleLink w:val="CompanyList"/>
  </w:abstractNum>
  <w:abstractNum w:abstractNumId="11" w15:restartNumberingAfterBreak="0">
    <w:nsid w:val="14F10ED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D1618F"/>
    <w:multiLevelType w:val="multilevel"/>
    <w:tmpl w:val="D2D6EB0E"/>
    <w:lvl w:ilvl="0">
      <w:start w:val="1"/>
      <w:numFmt w:val="lowerLetter"/>
      <w:lvlText w:val="%1)"/>
      <w:lvlJc w:val="left"/>
      <w:pPr>
        <w:tabs>
          <w:tab w:val="num" w:pos="453"/>
        </w:tabs>
        <w:ind w:left="453" w:hanging="453"/>
      </w:pPr>
      <w:rPr>
        <w:rFonts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18692781"/>
    <w:multiLevelType w:val="hybridMultilevel"/>
    <w:tmpl w:val="8B663CF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8E133CF"/>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5" w15:restartNumberingAfterBreak="0">
    <w:nsid w:val="1FC21441"/>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6" w15:restartNumberingAfterBreak="0">
    <w:nsid w:val="25AA31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7C62201"/>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8" w15:restartNumberingAfterBreak="0">
    <w:nsid w:val="285B6583"/>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9" w15:restartNumberingAfterBreak="0">
    <w:nsid w:val="28A91837"/>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0" w15:restartNumberingAfterBreak="0">
    <w:nsid w:val="2C2D06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E9D0502"/>
    <w:multiLevelType w:val="multilevel"/>
    <w:tmpl w:val="94341286"/>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2" w15:restartNumberingAfterBreak="0">
    <w:nsid w:val="2FDE1D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09030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2206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7CB3440"/>
    <w:multiLevelType w:val="multilevel"/>
    <w:tmpl w:val="F23C9072"/>
    <w:styleLink w:val="CompanyList"/>
    <w:lvl w:ilvl="0">
      <w:start w:val="1"/>
      <w:numFmt w:val="decimal"/>
      <w:lvlRestart w:val="0"/>
      <w:lvlText w:val="%1."/>
      <w:lvlJc w:val="left"/>
      <w:pPr>
        <w:tabs>
          <w:tab w:val="num" w:pos="453"/>
        </w:tabs>
        <w:ind w:left="453" w:hanging="453"/>
      </w:pPr>
      <w:rPr>
        <w:rFonts w:ascii="Symbol" w:hAnsi="Symbol" w:hint="default"/>
      </w:rPr>
    </w:lvl>
    <w:lvl w:ilvl="1">
      <w:start w:val="1"/>
      <w:numFmt w:val="lowerLetter"/>
      <w:lvlText w:val="%2)"/>
      <w:lvlJc w:val="left"/>
      <w:pPr>
        <w:tabs>
          <w:tab w:val="num" w:pos="907"/>
        </w:tabs>
        <w:ind w:left="907" w:hanging="454"/>
      </w:pPr>
      <w:rPr>
        <w:rFonts w:ascii="Arial" w:hAnsi="Arial" w:cs="Arial"/>
      </w:rPr>
    </w:lvl>
    <w:lvl w:ilvl="2">
      <w:start w:val="1"/>
      <w:numFmt w:val="lowerRoman"/>
      <w:lvlText w:val="%3)"/>
      <w:lvlJc w:val="left"/>
      <w:pPr>
        <w:tabs>
          <w:tab w:val="num" w:pos="1360"/>
        </w:tabs>
        <w:ind w:left="1360" w:hanging="453"/>
      </w:pPr>
      <w:rPr>
        <w:rFonts w:ascii="Arial" w:hAnsi="Arial" w:cs="Arial"/>
      </w:rPr>
    </w:lvl>
    <w:lvl w:ilvl="3">
      <w:start w:val="1"/>
      <w:numFmt w:val="decimal"/>
      <w:lvlText w:val="%4"/>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6" w15:restartNumberingAfterBreak="0">
    <w:nsid w:val="39A94879"/>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7" w15:restartNumberingAfterBreak="0">
    <w:nsid w:val="3BED45E6"/>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8" w15:restartNumberingAfterBreak="0">
    <w:nsid w:val="44AA01C5"/>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9" w15:restartNumberingAfterBreak="0">
    <w:nsid w:val="46003B42"/>
    <w:multiLevelType w:val="multilevel"/>
    <w:tmpl w:val="32A0A6BE"/>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Arial" w:hAnsi="Arial" w:cs="Arial"/>
      </w:rPr>
    </w:lvl>
    <w:lvl w:ilvl="2">
      <w:start w:val="1"/>
      <w:numFmt w:val="lowerRoman"/>
      <w:lvlText w:val="-"/>
      <w:lvlJc w:val="left"/>
      <w:pPr>
        <w:tabs>
          <w:tab w:val="num" w:pos="1360"/>
        </w:tabs>
        <w:ind w:left="1360" w:hanging="453"/>
      </w:pPr>
      <w:rPr>
        <w:rFonts w:ascii="Arial" w:hAnsi="Arial" w:cs="Arial"/>
      </w:rPr>
    </w:lvl>
    <w:lvl w:ilvl="3">
      <w:start w:val="1"/>
      <w:numFmt w:val="bullet"/>
      <w:lvlText w:val="-"/>
      <w:lvlJc w:val="left"/>
      <w:pPr>
        <w:tabs>
          <w:tab w:val="num" w:pos="1814"/>
        </w:tabs>
        <w:ind w:left="1814" w:hanging="454"/>
      </w:pPr>
      <w:rPr>
        <w:rFonts w:ascii="Arial" w:hAnsi="Arial" w:cs="Arial"/>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0" w15:restartNumberingAfterBreak="0">
    <w:nsid w:val="473E660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02032F2"/>
    <w:multiLevelType w:val="multilevel"/>
    <w:tmpl w:val="9D4A89A0"/>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2" w15:restartNumberingAfterBreak="0">
    <w:nsid w:val="55AA28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72C79ED"/>
    <w:multiLevelType w:val="multilevel"/>
    <w:tmpl w:val="F23C9072"/>
    <w:numStyleLink w:val="CompanyList"/>
  </w:abstractNum>
  <w:abstractNum w:abstractNumId="34" w15:restartNumberingAfterBreak="0">
    <w:nsid w:val="5BD13D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F84EA5"/>
    <w:multiLevelType w:val="multilevel"/>
    <w:tmpl w:val="9A36ADB0"/>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6" w15:restartNumberingAfterBreak="0">
    <w:nsid w:val="610D717B"/>
    <w:multiLevelType w:val="hybridMultilevel"/>
    <w:tmpl w:val="BBECE450"/>
    <w:lvl w:ilvl="0" w:tplc="041D000F">
      <w:start w:val="1"/>
      <w:numFmt w:val="decimal"/>
      <w:lvlText w:val="%1."/>
      <w:lvlJc w:val="left"/>
      <w:pPr>
        <w:ind w:left="720" w:hanging="360"/>
      </w:pPr>
    </w:lvl>
    <w:lvl w:ilvl="1" w:tplc="041D0017">
      <w:start w:val="1"/>
      <w:numFmt w:val="lowerLetter"/>
      <w:lvlText w:val="%2)"/>
      <w:lvlJc w:val="left"/>
      <w:pPr>
        <w:ind w:left="1440" w:hanging="360"/>
      </w:pPr>
      <w:rPr>
        <w:rFonts w:hint="default"/>
      </w:rPr>
    </w:lvl>
    <w:lvl w:ilvl="2" w:tplc="041D0001">
      <w:start w:val="1"/>
      <w:numFmt w:val="bullet"/>
      <w:lvlText w:val=""/>
      <w:lvlJc w:val="left"/>
      <w:pPr>
        <w:ind w:left="2160"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15:restartNumberingAfterBreak="0">
    <w:nsid w:val="65D8495C"/>
    <w:multiLevelType w:val="multilevel"/>
    <w:tmpl w:val="BF140784"/>
    <w:lvl w:ilvl="0">
      <w:start w:val="1"/>
      <w:numFmt w:val="bullet"/>
      <w:lvlRestart w:val="0"/>
      <w:lvlText w:val=""/>
      <w:lvlJc w:val="left"/>
      <w:pPr>
        <w:tabs>
          <w:tab w:val="num" w:pos="453"/>
        </w:tabs>
        <w:ind w:left="453" w:hanging="453"/>
      </w:pPr>
      <w:rPr>
        <w:rFonts w:ascii="Symbol" w:hAnsi="Symbol" w:cs="Arial" w:hint="default"/>
        <w:sz w:val="20"/>
      </w:rPr>
    </w:lvl>
    <w:lvl w:ilvl="1">
      <w:start w:val="1"/>
      <w:numFmt w:val="lowerLetter"/>
      <w:lvlText w:val="-"/>
      <w:lvlJc w:val="left"/>
      <w:pPr>
        <w:tabs>
          <w:tab w:val="num" w:pos="907"/>
        </w:tabs>
        <w:ind w:left="907" w:hanging="454"/>
      </w:pPr>
      <w:rPr>
        <w:rFonts w:ascii="Arial" w:hAnsi="Arial" w:cs="Arial"/>
        <w:sz w:val="20"/>
      </w:rPr>
    </w:lvl>
    <w:lvl w:ilvl="2">
      <w:start w:val="1"/>
      <w:numFmt w:val="lowerRoman"/>
      <w:lvlText w:val="-"/>
      <w:lvlJc w:val="left"/>
      <w:pPr>
        <w:tabs>
          <w:tab w:val="num" w:pos="1360"/>
        </w:tabs>
        <w:ind w:left="1360" w:hanging="453"/>
      </w:pPr>
      <w:rPr>
        <w:rFonts w:ascii="Arial" w:hAnsi="Arial" w:cs="Arial"/>
        <w:sz w:val="20"/>
      </w:rPr>
    </w:lvl>
    <w:lvl w:ilvl="3">
      <w:start w:val="1"/>
      <w:numFmt w:val="bullet"/>
      <w:lvlText w:val="-"/>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38" w15:restartNumberingAfterBreak="0">
    <w:nsid w:val="684E48D4"/>
    <w:multiLevelType w:val="hybridMultilevel"/>
    <w:tmpl w:val="5B3C66CC"/>
    <w:lvl w:ilvl="0" w:tplc="041D000F">
      <w:start w:val="1"/>
      <w:numFmt w:val="decimal"/>
      <w:lvlText w:val="%1."/>
      <w:lvlJc w:val="left"/>
      <w:pPr>
        <w:ind w:left="720" w:hanging="360"/>
      </w:pPr>
    </w:lvl>
    <w:lvl w:ilvl="1" w:tplc="041D000F">
      <w:start w:val="1"/>
      <w:numFmt w:val="decimal"/>
      <w:lvlText w:val="%2."/>
      <w:lvlJc w:val="left"/>
      <w:pPr>
        <w:ind w:left="1440" w:hanging="360"/>
      </w:pPr>
      <w:rPr>
        <w:rFonts w:hint="default"/>
      </w:rPr>
    </w:lvl>
    <w:lvl w:ilvl="2" w:tplc="041D0001">
      <w:start w:val="1"/>
      <w:numFmt w:val="bullet"/>
      <w:lvlText w:val=""/>
      <w:lvlJc w:val="left"/>
      <w:pPr>
        <w:ind w:left="2160" w:hanging="180"/>
      </w:pPr>
      <w:rPr>
        <w:rFonts w:ascii="Symbol" w:hAnsi="Symbol"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6D8B3A35"/>
    <w:multiLevelType w:val="multilevel"/>
    <w:tmpl w:val="F23C9072"/>
    <w:numStyleLink w:val="CompanyList"/>
  </w:abstractNum>
  <w:abstractNum w:abstractNumId="40" w15:restartNumberingAfterBreak="0">
    <w:nsid w:val="6EF503B7"/>
    <w:multiLevelType w:val="multilevel"/>
    <w:tmpl w:val="7368F9FE"/>
    <w:lvl w:ilvl="0">
      <w:start w:val="1"/>
      <w:numFmt w:val="decimal"/>
      <w:lvlRestart w:val="0"/>
      <w:lvlText w:val="%1."/>
      <w:lvlJc w:val="left"/>
      <w:pPr>
        <w:tabs>
          <w:tab w:val="num" w:pos="453"/>
        </w:tabs>
        <w:ind w:left="453" w:hanging="453"/>
      </w:pPr>
      <w:rPr>
        <w:rFonts w:ascii="Georgia" w:hAnsi="Georgia" w:cs="Arial" w:hint="default"/>
        <w:sz w:val="20"/>
      </w:rPr>
    </w:lvl>
    <w:lvl w:ilvl="1">
      <w:start w:val="1"/>
      <w:numFmt w:val="lowerLetter"/>
      <w:lvlText w:val="%2)"/>
      <w:lvlJc w:val="left"/>
      <w:pPr>
        <w:tabs>
          <w:tab w:val="num" w:pos="907"/>
        </w:tabs>
        <w:ind w:left="907" w:hanging="454"/>
      </w:pPr>
      <w:rPr>
        <w:rFonts w:ascii="Arial" w:hAnsi="Arial" w:cs="Arial"/>
        <w:sz w:val="20"/>
      </w:rPr>
    </w:lvl>
    <w:lvl w:ilvl="2">
      <w:start w:val="1"/>
      <w:numFmt w:val="lowerRoman"/>
      <w:lvlText w:val="%3)"/>
      <w:lvlJc w:val="left"/>
      <w:pPr>
        <w:tabs>
          <w:tab w:val="num" w:pos="1360"/>
        </w:tabs>
        <w:ind w:left="1360" w:hanging="453"/>
      </w:pPr>
      <w:rPr>
        <w:rFonts w:ascii="Arial" w:hAnsi="Arial" w:cs="Arial"/>
        <w:sz w:val="20"/>
      </w:rPr>
    </w:lvl>
    <w:lvl w:ilvl="3">
      <w:start w:val="1"/>
      <w:numFmt w:val="decimal"/>
      <w:lvlText w:val="%4"/>
      <w:lvlJc w:val="left"/>
      <w:pPr>
        <w:tabs>
          <w:tab w:val="num" w:pos="1814"/>
        </w:tabs>
        <w:ind w:left="1814" w:hanging="454"/>
      </w:pPr>
      <w:rPr>
        <w:rFonts w:ascii="Arial" w:hAnsi="Arial" w:cs="Arial"/>
        <w:sz w:val="20"/>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41" w15:restartNumberingAfterBreak="0">
    <w:nsid w:val="6F000FAE"/>
    <w:multiLevelType w:val="multilevel"/>
    <w:tmpl w:val="32A0A6BE"/>
    <w:numStyleLink w:val="CompanyListBullet"/>
  </w:abstractNum>
  <w:abstractNum w:abstractNumId="42" w15:restartNumberingAfterBreak="0">
    <w:nsid w:val="70BD65A2"/>
    <w:multiLevelType w:val="multilevel"/>
    <w:tmpl w:val="71F8AB52"/>
    <w:lvl w:ilvl="0">
      <w:start w:val="1"/>
      <w:numFmt w:val="decimal"/>
      <w:lvlRestart w:val="0"/>
      <w:pStyle w:val="Heading1No"/>
      <w:lvlText w:val="%1)"/>
      <w:lvlJc w:val="left"/>
      <w:pPr>
        <w:tabs>
          <w:tab w:val="num" w:pos="454"/>
        </w:tabs>
        <w:ind w:left="454" w:hanging="454"/>
      </w:pPr>
    </w:lvl>
    <w:lvl w:ilvl="1">
      <w:start w:val="1"/>
      <w:numFmt w:val="decimal"/>
      <w:pStyle w:val="Heading2No"/>
      <w:lvlText w:val="%1.%2)"/>
      <w:lvlJc w:val="left"/>
      <w:pPr>
        <w:tabs>
          <w:tab w:val="num" w:pos="454"/>
        </w:tabs>
        <w:ind w:left="454" w:hanging="454"/>
      </w:pPr>
    </w:lvl>
    <w:lvl w:ilvl="2">
      <w:start w:val="1"/>
      <w:numFmt w:val="decimal"/>
      <w:pStyle w:val="Heading3No"/>
      <w:lvlText w:val="%1.%2.%3)"/>
      <w:lvlJc w:val="left"/>
      <w:pPr>
        <w:tabs>
          <w:tab w:val="num" w:pos="454"/>
        </w:tabs>
        <w:ind w:left="454" w:hanging="454"/>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43" w15:restartNumberingAfterBreak="0">
    <w:nsid w:val="76FE3A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1"/>
  </w:num>
  <w:num w:numId="2">
    <w:abstractNumId w:val="35"/>
  </w:num>
  <w:num w:numId="3">
    <w:abstractNumId w:val="0"/>
  </w:num>
  <w:num w:numId="4">
    <w:abstractNumId w:val="28"/>
  </w:num>
  <w:num w:numId="5">
    <w:abstractNumId w:val="37"/>
  </w:num>
  <w:num w:numId="6">
    <w:abstractNumId w:val="28"/>
  </w:num>
  <w:num w:numId="7">
    <w:abstractNumId w:val="37"/>
  </w:num>
  <w:num w:numId="8">
    <w:abstractNumId w:val="2"/>
  </w:num>
  <w:num w:numId="9">
    <w:abstractNumId w:val="5"/>
  </w:num>
  <w:num w:numId="10">
    <w:abstractNumId w:val="27"/>
  </w:num>
  <w:num w:numId="11">
    <w:abstractNumId w:val="40"/>
  </w:num>
  <w:num w:numId="12">
    <w:abstractNumId w:val="14"/>
  </w:num>
  <w:num w:numId="13">
    <w:abstractNumId w:val="0"/>
  </w:num>
  <w:num w:numId="14">
    <w:abstractNumId w:val="28"/>
  </w:num>
  <w:num w:numId="15">
    <w:abstractNumId w:val="35"/>
  </w:num>
  <w:num w:numId="16">
    <w:abstractNumId w:val="2"/>
  </w:num>
  <w:num w:numId="17">
    <w:abstractNumId w:val="5"/>
  </w:num>
  <w:num w:numId="18">
    <w:abstractNumId w:val="17"/>
  </w:num>
  <w:num w:numId="19">
    <w:abstractNumId w:val="19"/>
  </w:num>
  <w:num w:numId="20">
    <w:abstractNumId w:val="26"/>
  </w:num>
  <w:num w:numId="21">
    <w:abstractNumId w:val="15"/>
  </w:num>
  <w:num w:numId="22">
    <w:abstractNumId w:val="18"/>
  </w:num>
  <w:num w:numId="23">
    <w:abstractNumId w:val="9"/>
  </w:num>
  <w:num w:numId="24">
    <w:abstractNumId w:val="1"/>
  </w:num>
  <w:num w:numId="25">
    <w:abstractNumId w:val="31"/>
  </w:num>
  <w:num w:numId="26">
    <w:abstractNumId w:val="25"/>
  </w:num>
  <w:num w:numId="27">
    <w:abstractNumId w:val="29"/>
  </w:num>
  <w:num w:numId="28">
    <w:abstractNumId w:val="4"/>
  </w:num>
  <w:num w:numId="29">
    <w:abstractNumId w:val="42"/>
  </w:num>
  <w:num w:numId="30">
    <w:abstractNumId w:val="33"/>
  </w:num>
  <w:num w:numId="31">
    <w:abstractNumId w:val="38"/>
  </w:num>
  <w:num w:numId="32">
    <w:abstractNumId w:val="36"/>
  </w:num>
  <w:num w:numId="33">
    <w:abstractNumId w:val="7"/>
  </w:num>
  <w:num w:numId="34">
    <w:abstractNumId w:val="12"/>
  </w:num>
  <w:num w:numId="35">
    <w:abstractNumId w:val="41"/>
  </w:num>
  <w:num w:numId="36">
    <w:abstractNumId w:val="39"/>
  </w:num>
  <w:num w:numId="37">
    <w:abstractNumId w:val="13"/>
  </w:num>
  <w:num w:numId="38">
    <w:abstractNumId w:val="1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wedish"/>
    <w:docVar w:name="DVarLogotypeFile" w:val="SBF"/>
    <w:docVar w:name="DVarLogotypeInserted" w:val="Yes"/>
    <w:docVar w:name="DVarPageNumberInserted" w:val="Yes"/>
  </w:docVars>
  <w:rsids>
    <w:rsidRoot w:val="00A5756B"/>
    <w:rsid w:val="00004663"/>
    <w:rsid w:val="00006808"/>
    <w:rsid w:val="00006CAE"/>
    <w:rsid w:val="00013340"/>
    <w:rsid w:val="00015318"/>
    <w:rsid w:val="00017808"/>
    <w:rsid w:val="00021CC3"/>
    <w:rsid w:val="00024843"/>
    <w:rsid w:val="0002789F"/>
    <w:rsid w:val="00027CC1"/>
    <w:rsid w:val="00042344"/>
    <w:rsid w:val="000621CB"/>
    <w:rsid w:val="00062267"/>
    <w:rsid w:val="00062D55"/>
    <w:rsid w:val="0006340C"/>
    <w:rsid w:val="00065E16"/>
    <w:rsid w:val="00070672"/>
    <w:rsid w:val="00070D62"/>
    <w:rsid w:val="00074B9C"/>
    <w:rsid w:val="00075FD6"/>
    <w:rsid w:val="00077465"/>
    <w:rsid w:val="00084C99"/>
    <w:rsid w:val="000A42BE"/>
    <w:rsid w:val="000A70E4"/>
    <w:rsid w:val="000C0BB3"/>
    <w:rsid w:val="000C5DC1"/>
    <w:rsid w:val="000C6115"/>
    <w:rsid w:val="000C6A6D"/>
    <w:rsid w:val="000D0EA6"/>
    <w:rsid w:val="000D2CF1"/>
    <w:rsid w:val="000E157B"/>
    <w:rsid w:val="000E280A"/>
    <w:rsid w:val="000E30F7"/>
    <w:rsid w:val="000F2279"/>
    <w:rsid w:val="000F42C1"/>
    <w:rsid w:val="000F7C5F"/>
    <w:rsid w:val="001009CB"/>
    <w:rsid w:val="00107ADF"/>
    <w:rsid w:val="0011150A"/>
    <w:rsid w:val="00112266"/>
    <w:rsid w:val="00112ABB"/>
    <w:rsid w:val="00121043"/>
    <w:rsid w:val="00124B7E"/>
    <w:rsid w:val="00125532"/>
    <w:rsid w:val="0013381B"/>
    <w:rsid w:val="00141850"/>
    <w:rsid w:val="00145E4F"/>
    <w:rsid w:val="00151A2D"/>
    <w:rsid w:val="00152F1B"/>
    <w:rsid w:val="00156724"/>
    <w:rsid w:val="001568E3"/>
    <w:rsid w:val="00160699"/>
    <w:rsid w:val="001711AD"/>
    <w:rsid w:val="00192943"/>
    <w:rsid w:val="00195457"/>
    <w:rsid w:val="001A480F"/>
    <w:rsid w:val="001A7481"/>
    <w:rsid w:val="001B49D9"/>
    <w:rsid w:val="001B7B69"/>
    <w:rsid w:val="001C27A8"/>
    <w:rsid w:val="001C3F2F"/>
    <w:rsid w:val="001C550B"/>
    <w:rsid w:val="001D338C"/>
    <w:rsid w:val="001D667A"/>
    <w:rsid w:val="001F1567"/>
    <w:rsid w:val="001F1A97"/>
    <w:rsid w:val="001F3E4A"/>
    <w:rsid w:val="001F78D9"/>
    <w:rsid w:val="002049BA"/>
    <w:rsid w:val="002211C6"/>
    <w:rsid w:val="00222C32"/>
    <w:rsid w:val="002232D0"/>
    <w:rsid w:val="002249D9"/>
    <w:rsid w:val="00225FAC"/>
    <w:rsid w:val="00231F2A"/>
    <w:rsid w:val="0023696B"/>
    <w:rsid w:val="002375F4"/>
    <w:rsid w:val="00240078"/>
    <w:rsid w:val="00242750"/>
    <w:rsid w:val="00246B50"/>
    <w:rsid w:val="00246D86"/>
    <w:rsid w:val="00250C7D"/>
    <w:rsid w:val="002538ED"/>
    <w:rsid w:val="00253AD9"/>
    <w:rsid w:val="00255D6D"/>
    <w:rsid w:val="002572CF"/>
    <w:rsid w:val="002672C7"/>
    <w:rsid w:val="00274538"/>
    <w:rsid w:val="0027795F"/>
    <w:rsid w:val="00284C34"/>
    <w:rsid w:val="00294807"/>
    <w:rsid w:val="002A09A7"/>
    <w:rsid w:val="002A5DAB"/>
    <w:rsid w:val="002B5768"/>
    <w:rsid w:val="002B6B27"/>
    <w:rsid w:val="002C3B4A"/>
    <w:rsid w:val="002C726F"/>
    <w:rsid w:val="002D025C"/>
    <w:rsid w:val="002D3BB0"/>
    <w:rsid w:val="002E1759"/>
    <w:rsid w:val="002E5A93"/>
    <w:rsid w:val="002F008B"/>
    <w:rsid w:val="002F65DE"/>
    <w:rsid w:val="00303B5C"/>
    <w:rsid w:val="00305F56"/>
    <w:rsid w:val="003146F8"/>
    <w:rsid w:val="00320128"/>
    <w:rsid w:val="00333F16"/>
    <w:rsid w:val="00336388"/>
    <w:rsid w:val="00343A3C"/>
    <w:rsid w:val="0035032E"/>
    <w:rsid w:val="0035271F"/>
    <w:rsid w:val="003537FA"/>
    <w:rsid w:val="00354D0B"/>
    <w:rsid w:val="00357360"/>
    <w:rsid w:val="00361CAF"/>
    <w:rsid w:val="00363828"/>
    <w:rsid w:val="003709C2"/>
    <w:rsid w:val="00371F21"/>
    <w:rsid w:val="00375ADF"/>
    <w:rsid w:val="0038209D"/>
    <w:rsid w:val="003866CF"/>
    <w:rsid w:val="00387A92"/>
    <w:rsid w:val="003A20C6"/>
    <w:rsid w:val="003A2F07"/>
    <w:rsid w:val="003A6908"/>
    <w:rsid w:val="003A7356"/>
    <w:rsid w:val="003B31C5"/>
    <w:rsid w:val="003B38B7"/>
    <w:rsid w:val="003B7FAF"/>
    <w:rsid w:val="003D5710"/>
    <w:rsid w:val="003D7D8A"/>
    <w:rsid w:val="003E6176"/>
    <w:rsid w:val="003E622A"/>
    <w:rsid w:val="003E7A7C"/>
    <w:rsid w:val="00400B49"/>
    <w:rsid w:val="0040165C"/>
    <w:rsid w:val="00406B47"/>
    <w:rsid w:val="00407425"/>
    <w:rsid w:val="004145A9"/>
    <w:rsid w:val="00423F47"/>
    <w:rsid w:val="004323FE"/>
    <w:rsid w:val="0043296F"/>
    <w:rsid w:val="004346BF"/>
    <w:rsid w:val="00447842"/>
    <w:rsid w:val="0045394C"/>
    <w:rsid w:val="00454243"/>
    <w:rsid w:val="00461383"/>
    <w:rsid w:val="00462ADB"/>
    <w:rsid w:val="0046498C"/>
    <w:rsid w:val="00466452"/>
    <w:rsid w:val="004701A8"/>
    <w:rsid w:val="00475577"/>
    <w:rsid w:val="00475F60"/>
    <w:rsid w:val="00477BBE"/>
    <w:rsid w:val="0048369E"/>
    <w:rsid w:val="004939F4"/>
    <w:rsid w:val="00494A18"/>
    <w:rsid w:val="004A1B7E"/>
    <w:rsid w:val="004A53AD"/>
    <w:rsid w:val="004A7CF0"/>
    <w:rsid w:val="004B1D01"/>
    <w:rsid w:val="004B341D"/>
    <w:rsid w:val="004B3EAA"/>
    <w:rsid w:val="004B7006"/>
    <w:rsid w:val="004C4FB2"/>
    <w:rsid w:val="004C5021"/>
    <w:rsid w:val="004D7177"/>
    <w:rsid w:val="004E3777"/>
    <w:rsid w:val="004E5AD0"/>
    <w:rsid w:val="004E658A"/>
    <w:rsid w:val="004F1140"/>
    <w:rsid w:val="004F4F4F"/>
    <w:rsid w:val="004F5C67"/>
    <w:rsid w:val="004F6276"/>
    <w:rsid w:val="004F77A5"/>
    <w:rsid w:val="00503511"/>
    <w:rsid w:val="00504518"/>
    <w:rsid w:val="005069BB"/>
    <w:rsid w:val="00506BD0"/>
    <w:rsid w:val="00507476"/>
    <w:rsid w:val="005129C4"/>
    <w:rsid w:val="00522EFF"/>
    <w:rsid w:val="005368B1"/>
    <w:rsid w:val="00541BFF"/>
    <w:rsid w:val="005463F2"/>
    <w:rsid w:val="0056167C"/>
    <w:rsid w:val="00563715"/>
    <w:rsid w:val="00563FE8"/>
    <w:rsid w:val="00565F88"/>
    <w:rsid w:val="005733AD"/>
    <w:rsid w:val="00573B78"/>
    <w:rsid w:val="0058679B"/>
    <w:rsid w:val="005931C7"/>
    <w:rsid w:val="00594BF1"/>
    <w:rsid w:val="005A3BFC"/>
    <w:rsid w:val="005B2363"/>
    <w:rsid w:val="005B536B"/>
    <w:rsid w:val="005B57CC"/>
    <w:rsid w:val="005B733B"/>
    <w:rsid w:val="005D09A1"/>
    <w:rsid w:val="005D0B23"/>
    <w:rsid w:val="005D2B4D"/>
    <w:rsid w:val="005D2DE1"/>
    <w:rsid w:val="005D5BC0"/>
    <w:rsid w:val="005E7557"/>
    <w:rsid w:val="005F1C04"/>
    <w:rsid w:val="005F1EDD"/>
    <w:rsid w:val="005F306C"/>
    <w:rsid w:val="005F4F72"/>
    <w:rsid w:val="006020B2"/>
    <w:rsid w:val="00602F7E"/>
    <w:rsid w:val="0060351E"/>
    <w:rsid w:val="00603763"/>
    <w:rsid w:val="006043AC"/>
    <w:rsid w:val="006056E9"/>
    <w:rsid w:val="00605B36"/>
    <w:rsid w:val="00605B95"/>
    <w:rsid w:val="00616CFC"/>
    <w:rsid w:val="006171E1"/>
    <w:rsid w:val="00617D2E"/>
    <w:rsid w:val="00620345"/>
    <w:rsid w:val="00623221"/>
    <w:rsid w:val="00635610"/>
    <w:rsid w:val="00641D29"/>
    <w:rsid w:val="0064669E"/>
    <w:rsid w:val="00651E4D"/>
    <w:rsid w:val="00660CE5"/>
    <w:rsid w:val="006626AE"/>
    <w:rsid w:val="00671394"/>
    <w:rsid w:val="006764DC"/>
    <w:rsid w:val="006768BA"/>
    <w:rsid w:val="006778F5"/>
    <w:rsid w:val="00680203"/>
    <w:rsid w:val="006815AC"/>
    <w:rsid w:val="00686342"/>
    <w:rsid w:val="0069170E"/>
    <w:rsid w:val="006960AC"/>
    <w:rsid w:val="00696783"/>
    <w:rsid w:val="00696C2D"/>
    <w:rsid w:val="006A04F2"/>
    <w:rsid w:val="006A2ECB"/>
    <w:rsid w:val="006A4C1E"/>
    <w:rsid w:val="006A632E"/>
    <w:rsid w:val="006A74A6"/>
    <w:rsid w:val="006A7A68"/>
    <w:rsid w:val="006B23ED"/>
    <w:rsid w:val="006B5B45"/>
    <w:rsid w:val="006B6114"/>
    <w:rsid w:val="006B7672"/>
    <w:rsid w:val="006C2EA9"/>
    <w:rsid w:val="006C57CF"/>
    <w:rsid w:val="006D2051"/>
    <w:rsid w:val="006D2A5F"/>
    <w:rsid w:val="006D55DA"/>
    <w:rsid w:val="006D78D7"/>
    <w:rsid w:val="006E1185"/>
    <w:rsid w:val="006E3ACC"/>
    <w:rsid w:val="006E7F90"/>
    <w:rsid w:val="006F00EF"/>
    <w:rsid w:val="006F2C7B"/>
    <w:rsid w:val="006F5D25"/>
    <w:rsid w:val="007047F7"/>
    <w:rsid w:val="00734A39"/>
    <w:rsid w:val="00737D1A"/>
    <w:rsid w:val="0074090B"/>
    <w:rsid w:val="007412FC"/>
    <w:rsid w:val="00743049"/>
    <w:rsid w:val="00750870"/>
    <w:rsid w:val="00755566"/>
    <w:rsid w:val="00760E22"/>
    <w:rsid w:val="00761622"/>
    <w:rsid w:val="00763A9F"/>
    <w:rsid w:val="007663C5"/>
    <w:rsid w:val="007725AF"/>
    <w:rsid w:val="0078210B"/>
    <w:rsid w:val="007A0BA9"/>
    <w:rsid w:val="007A1845"/>
    <w:rsid w:val="007A1C8C"/>
    <w:rsid w:val="007A37E8"/>
    <w:rsid w:val="007A4B52"/>
    <w:rsid w:val="007A5882"/>
    <w:rsid w:val="007B09C9"/>
    <w:rsid w:val="007B320D"/>
    <w:rsid w:val="007B61E7"/>
    <w:rsid w:val="007D27AD"/>
    <w:rsid w:val="007D3820"/>
    <w:rsid w:val="007E17A4"/>
    <w:rsid w:val="007E1A90"/>
    <w:rsid w:val="007E369D"/>
    <w:rsid w:val="00802C82"/>
    <w:rsid w:val="008030D5"/>
    <w:rsid w:val="00804CF4"/>
    <w:rsid w:val="00806486"/>
    <w:rsid w:val="00806BCE"/>
    <w:rsid w:val="00825BF0"/>
    <w:rsid w:val="00830DD7"/>
    <w:rsid w:val="00831F09"/>
    <w:rsid w:val="008431A0"/>
    <w:rsid w:val="008462B1"/>
    <w:rsid w:val="008501C5"/>
    <w:rsid w:val="00862240"/>
    <w:rsid w:val="00863279"/>
    <w:rsid w:val="008656B3"/>
    <w:rsid w:val="00866730"/>
    <w:rsid w:val="0087154C"/>
    <w:rsid w:val="008719A3"/>
    <w:rsid w:val="00880952"/>
    <w:rsid w:val="008830BE"/>
    <w:rsid w:val="008973F0"/>
    <w:rsid w:val="008A6094"/>
    <w:rsid w:val="008B3FDC"/>
    <w:rsid w:val="008C4532"/>
    <w:rsid w:val="008C53E6"/>
    <w:rsid w:val="008C743A"/>
    <w:rsid w:val="008E28EA"/>
    <w:rsid w:val="008E3CF5"/>
    <w:rsid w:val="008E41D1"/>
    <w:rsid w:val="008E4E25"/>
    <w:rsid w:val="008F2BBB"/>
    <w:rsid w:val="008F37A9"/>
    <w:rsid w:val="008F3D35"/>
    <w:rsid w:val="008F7DAD"/>
    <w:rsid w:val="0090196D"/>
    <w:rsid w:val="00905980"/>
    <w:rsid w:val="009059FC"/>
    <w:rsid w:val="00906FF2"/>
    <w:rsid w:val="0091394B"/>
    <w:rsid w:val="00930FB1"/>
    <w:rsid w:val="0093729F"/>
    <w:rsid w:val="0094074A"/>
    <w:rsid w:val="00957FC0"/>
    <w:rsid w:val="00967B9A"/>
    <w:rsid w:val="00967D87"/>
    <w:rsid w:val="00970085"/>
    <w:rsid w:val="00970B6D"/>
    <w:rsid w:val="00974702"/>
    <w:rsid w:val="009771BF"/>
    <w:rsid w:val="00986493"/>
    <w:rsid w:val="00991707"/>
    <w:rsid w:val="009919EE"/>
    <w:rsid w:val="00993736"/>
    <w:rsid w:val="0099402B"/>
    <w:rsid w:val="00997595"/>
    <w:rsid w:val="009A08EF"/>
    <w:rsid w:val="009A17C4"/>
    <w:rsid w:val="009A3FFE"/>
    <w:rsid w:val="009A59AC"/>
    <w:rsid w:val="009B0444"/>
    <w:rsid w:val="009B33EC"/>
    <w:rsid w:val="009B4CF9"/>
    <w:rsid w:val="009B7DC3"/>
    <w:rsid w:val="009C0900"/>
    <w:rsid w:val="009C096E"/>
    <w:rsid w:val="009C51B2"/>
    <w:rsid w:val="009D21FE"/>
    <w:rsid w:val="009D73FB"/>
    <w:rsid w:val="009E0BB9"/>
    <w:rsid w:val="009E1D49"/>
    <w:rsid w:val="009E37F5"/>
    <w:rsid w:val="009E3B00"/>
    <w:rsid w:val="009E5888"/>
    <w:rsid w:val="009F1AA8"/>
    <w:rsid w:val="009F4780"/>
    <w:rsid w:val="009F665E"/>
    <w:rsid w:val="00A0259D"/>
    <w:rsid w:val="00A02D0F"/>
    <w:rsid w:val="00A1366F"/>
    <w:rsid w:val="00A15A87"/>
    <w:rsid w:val="00A173E9"/>
    <w:rsid w:val="00A214A0"/>
    <w:rsid w:val="00A218F9"/>
    <w:rsid w:val="00A21B61"/>
    <w:rsid w:val="00A231C8"/>
    <w:rsid w:val="00A30690"/>
    <w:rsid w:val="00A35DA8"/>
    <w:rsid w:val="00A36180"/>
    <w:rsid w:val="00A42D42"/>
    <w:rsid w:val="00A452BD"/>
    <w:rsid w:val="00A568FC"/>
    <w:rsid w:val="00A5756B"/>
    <w:rsid w:val="00A63054"/>
    <w:rsid w:val="00A6393A"/>
    <w:rsid w:val="00A64426"/>
    <w:rsid w:val="00A6758C"/>
    <w:rsid w:val="00A704DF"/>
    <w:rsid w:val="00A72D25"/>
    <w:rsid w:val="00A74077"/>
    <w:rsid w:val="00A75A57"/>
    <w:rsid w:val="00A8238B"/>
    <w:rsid w:val="00A842D2"/>
    <w:rsid w:val="00A86547"/>
    <w:rsid w:val="00A91730"/>
    <w:rsid w:val="00A94D66"/>
    <w:rsid w:val="00A97CBA"/>
    <w:rsid w:val="00AA0A1A"/>
    <w:rsid w:val="00AA3BBE"/>
    <w:rsid w:val="00AA4B56"/>
    <w:rsid w:val="00AA7914"/>
    <w:rsid w:val="00AA7A85"/>
    <w:rsid w:val="00AB6264"/>
    <w:rsid w:val="00AC17BD"/>
    <w:rsid w:val="00AC36E9"/>
    <w:rsid w:val="00AC4654"/>
    <w:rsid w:val="00AC75F6"/>
    <w:rsid w:val="00AE793E"/>
    <w:rsid w:val="00AF7D47"/>
    <w:rsid w:val="00B00CAC"/>
    <w:rsid w:val="00B02200"/>
    <w:rsid w:val="00B03A09"/>
    <w:rsid w:val="00B10C53"/>
    <w:rsid w:val="00B170BC"/>
    <w:rsid w:val="00B20368"/>
    <w:rsid w:val="00B2386F"/>
    <w:rsid w:val="00B23983"/>
    <w:rsid w:val="00B30269"/>
    <w:rsid w:val="00B439E8"/>
    <w:rsid w:val="00B446BA"/>
    <w:rsid w:val="00B51FF9"/>
    <w:rsid w:val="00B64014"/>
    <w:rsid w:val="00B70823"/>
    <w:rsid w:val="00B70ABF"/>
    <w:rsid w:val="00B714BD"/>
    <w:rsid w:val="00B7712E"/>
    <w:rsid w:val="00B77B5A"/>
    <w:rsid w:val="00B80229"/>
    <w:rsid w:val="00B80FD7"/>
    <w:rsid w:val="00B81222"/>
    <w:rsid w:val="00B91657"/>
    <w:rsid w:val="00B92EB8"/>
    <w:rsid w:val="00B93AB0"/>
    <w:rsid w:val="00BA5007"/>
    <w:rsid w:val="00BB297F"/>
    <w:rsid w:val="00BB3E84"/>
    <w:rsid w:val="00BB713F"/>
    <w:rsid w:val="00BC1FB2"/>
    <w:rsid w:val="00BC293C"/>
    <w:rsid w:val="00BC5163"/>
    <w:rsid w:val="00BD42FD"/>
    <w:rsid w:val="00BE3D28"/>
    <w:rsid w:val="00BE5BB8"/>
    <w:rsid w:val="00BF4841"/>
    <w:rsid w:val="00BF4F02"/>
    <w:rsid w:val="00C04D1F"/>
    <w:rsid w:val="00C060B3"/>
    <w:rsid w:val="00C140E7"/>
    <w:rsid w:val="00C1428A"/>
    <w:rsid w:val="00C1527A"/>
    <w:rsid w:val="00C156E6"/>
    <w:rsid w:val="00C164CD"/>
    <w:rsid w:val="00C20AA6"/>
    <w:rsid w:val="00C31514"/>
    <w:rsid w:val="00C32DB5"/>
    <w:rsid w:val="00C3740C"/>
    <w:rsid w:val="00C414CE"/>
    <w:rsid w:val="00C423F5"/>
    <w:rsid w:val="00C4624A"/>
    <w:rsid w:val="00C50493"/>
    <w:rsid w:val="00C5124E"/>
    <w:rsid w:val="00C5131B"/>
    <w:rsid w:val="00C520C9"/>
    <w:rsid w:val="00C6314D"/>
    <w:rsid w:val="00C65254"/>
    <w:rsid w:val="00C7624A"/>
    <w:rsid w:val="00C80F6A"/>
    <w:rsid w:val="00C824FC"/>
    <w:rsid w:val="00C908FE"/>
    <w:rsid w:val="00C95A0A"/>
    <w:rsid w:val="00CA1572"/>
    <w:rsid w:val="00CA1960"/>
    <w:rsid w:val="00CA7DF4"/>
    <w:rsid w:val="00CB3DEB"/>
    <w:rsid w:val="00CD2B22"/>
    <w:rsid w:val="00CD452F"/>
    <w:rsid w:val="00CE183C"/>
    <w:rsid w:val="00CF0D9E"/>
    <w:rsid w:val="00CF3A21"/>
    <w:rsid w:val="00D042CD"/>
    <w:rsid w:val="00D06043"/>
    <w:rsid w:val="00D07FBA"/>
    <w:rsid w:val="00D14666"/>
    <w:rsid w:val="00D15E45"/>
    <w:rsid w:val="00D2007B"/>
    <w:rsid w:val="00D21E57"/>
    <w:rsid w:val="00D24A61"/>
    <w:rsid w:val="00D24C7B"/>
    <w:rsid w:val="00D25D5F"/>
    <w:rsid w:val="00D36C50"/>
    <w:rsid w:val="00D42B10"/>
    <w:rsid w:val="00D52D5C"/>
    <w:rsid w:val="00D55827"/>
    <w:rsid w:val="00D56EAF"/>
    <w:rsid w:val="00D6287A"/>
    <w:rsid w:val="00D70554"/>
    <w:rsid w:val="00D70E3A"/>
    <w:rsid w:val="00D7300A"/>
    <w:rsid w:val="00D74AF9"/>
    <w:rsid w:val="00D77263"/>
    <w:rsid w:val="00D80AC7"/>
    <w:rsid w:val="00D857A7"/>
    <w:rsid w:val="00D86596"/>
    <w:rsid w:val="00D958DF"/>
    <w:rsid w:val="00D96B67"/>
    <w:rsid w:val="00D972E1"/>
    <w:rsid w:val="00DB0F87"/>
    <w:rsid w:val="00DB5BA6"/>
    <w:rsid w:val="00DB60A0"/>
    <w:rsid w:val="00DC165E"/>
    <w:rsid w:val="00DC1BFC"/>
    <w:rsid w:val="00DC204B"/>
    <w:rsid w:val="00DD2AE7"/>
    <w:rsid w:val="00DE05D5"/>
    <w:rsid w:val="00DE24F5"/>
    <w:rsid w:val="00DE3836"/>
    <w:rsid w:val="00DF1DC1"/>
    <w:rsid w:val="00DF7725"/>
    <w:rsid w:val="00E00610"/>
    <w:rsid w:val="00E0349F"/>
    <w:rsid w:val="00E11E3F"/>
    <w:rsid w:val="00E154F7"/>
    <w:rsid w:val="00E164ED"/>
    <w:rsid w:val="00E17ABF"/>
    <w:rsid w:val="00E204BE"/>
    <w:rsid w:val="00E20830"/>
    <w:rsid w:val="00E2361A"/>
    <w:rsid w:val="00E2603E"/>
    <w:rsid w:val="00E26826"/>
    <w:rsid w:val="00E35FFF"/>
    <w:rsid w:val="00E4087A"/>
    <w:rsid w:val="00E4169E"/>
    <w:rsid w:val="00E452AE"/>
    <w:rsid w:val="00E56F31"/>
    <w:rsid w:val="00E6048C"/>
    <w:rsid w:val="00E63FD5"/>
    <w:rsid w:val="00E64A60"/>
    <w:rsid w:val="00E72CAE"/>
    <w:rsid w:val="00E73B82"/>
    <w:rsid w:val="00E807C4"/>
    <w:rsid w:val="00E932E1"/>
    <w:rsid w:val="00E975AD"/>
    <w:rsid w:val="00EA277A"/>
    <w:rsid w:val="00EA7CC6"/>
    <w:rsid w:val="00EA7D57"/>
    <w:rsid w:val="00EC6D26"/>
    <w:rsid w:val="00ED1675"/>
    <w:rsid w:val="00ED293C"/>
    <w:rsid w:val="00ED3871"/>
    <w:rsid w:val="00ED3A0C"/>
    <w:rsid w:val="00ED5D53"/>
    <w:rsid w:val="00EE7206"/>
    <w:rsid w:val="00F0291B"/>
    <w:rsid w:val="00F04FB5"/>
    <w:rsid w:val="00F064DC"/>
    <w:rsid w:val="00F06817"/>
    <w:rsid w:val="00F1065A"/>
    <w:rsid w:val="00F11732"/>
    <w:rsid w:val="00F1724A"/>
    <w:rsid w:val="00F20B7C"/>
    <w:rsid w:val="00F2426B"/>
    <w:rsid w:val="00F24C55"/>
    <w:rsid w:val="00F26D2A"/>
    <w:rsid w:val="00F2786F"/>
    <w:rsid w:val="00F324A4"/>
    <w:rsid w:val="00F35C48"/>
    <w:rsid w:val="00F37898"/>
    <w:rsid w:val="00F434DA"/>
    <w:rsid w:val="00F43C11"/>
    <w:rsid w:val="00F46129"/>
    <w:rsid w:val="00F60E66"/>
    <w:rsid w:val="00F634FC"/>
    <w:rsid w:val="00F6602D"/>
    <w:rsid w:val="00F66129"/>
    <w:rsid w:val="00F67667"/>
    <w:rsid w:val="00F711BF"/>
    <w:rsid w:val="00F751CE"/>
    <w:rsid w:val="00F85C00"/>
    <w:rsid w:val="00F9010B"/>
    <w:rsid w:val="00F96B59"/>
    <w:rsid w:val="00FA0BA3"/>
    <w:rsid w:val="00FB0E52"/>
    <w:rsid w:val="00FB1A9C"/>
    <w:rsid w:val="00FB5124"/>
    <w:rsid w:val="00FB56B8"/>
    <w:rsid w:val="00FB5C86"/>
    <w:rsid w:val="00FB5EC5"/>
    <w:rsid w:val="00FB7F90"/>
    <w:rsid w:val="00FD184D"/>
    <w:rsid w:val="00FD42D4"/>
    <w:rsid w:val="00FD4678"/>
    <w:rsid w:val="00FE5508"/>
    <w:rsid w:val="00FF03C8"/>
    <w:rsid w:val="00FF283F"/>
    <w:rsid w:val="00FF313B"/>
    <w:rsid w:val="00FF6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4231C39"/>
  <w15:docId w15:val="{1B1F1C4F-1820-492D-83CF-B02866362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6493"/>
    <w:pPr>
      <w:spacing w:line="276" w:lineRule="auto"/>
    </w:pPr>
    <w:rPr>
      <w:rFonts w:ascii="Arial" w:hAnsi="Arial" w:cs="Arial"/>
      <w:color w:val="000000"/>
      <w:sz w:val="22"/>
      <w:szCs w:val="24"/>
      <w:lang w:val="sv-SE" w:eastAsia="sv-SE"/>
    </w:rPr>
  </w:style>
  <w:style w:type="paragraph" w:styleId="Rubrik1">
    <w:name w:val="heading 1"/>
    <w:basedOn w:val="Normal"/>
    <w:next w:val="Normal"/>
    <w:link w:val="Rubrik1Char"/>
    <w:qFormat/>
    <w:rsid w:val="00986493"/>
    <w:pPr>
      <w:keepNext/>
      <w:spacing w:before="360" w:after="60"/>
      <w:outlineLvl w:val="0"/>
    </w:pPr>
    <w:rPr>
      <w:rFonts w:eastAsiaTheme="majorEastAsia"/>
      <w:b/>
      <w:bCs/>
      <w:sz w:val="24"/>
      <w:szCs w:val="28"/>
    </w:rPr>
  </w:style>
  <w:style w:type="paragraph" w:styleId="Rubrik2">
    <w:name w:val="heading 2"/>
    <w:basedOn w:val="Normal"/>
    <w:next w:val="Normal"/>
    <w:link w:val="Rubrik2Char"/>
    <w:unhideWhenUsed/>
    <w:qFormat/>
    <w:rsid w:val="00986493"/>
    <w:pPr>
      <w:keepNext/>
      <w:spacing w:before="360" w:after="60"/>
      <w:outlineLvl w:val="1"/>
    </w:pPr>
    <w:rPr>
      <w:rFonts w:eastAsiaTheme="majorEastAsia"/>
      <w:b/>
      <w:bCs/>
      <w:szCs w:val="26"/>
    </w:rPr>
  </w:style>
  <w:style w:type="paragraph" w:styleId="Rubrik3">
    <w:name w:val="heading 3"/>
    <w:basedOn w:val="Normal"/>
    <w:next w:val="Normal"/>
    <w:link w:val="Rubrik3Char"/>
    <w:unhideWhenUsed/>
    <w:qFormat/>
    <w:rsid w:val="00986493"/>
    <w:pPr>
      <w:keepNext/>
      <w:spacing w:before="360" w:after="60"/>
      <w:outlineLvl w:val="2"/>
    </w:pPr>
    <w:rPr>
      <w:rFonts w:eastAsiaTheme="majorEastAsia"/>
      <w:bCs/>
      <w:i/>
    </w:rPr>
  </w:style>
  <w:style w:type="paragraph" w:styleId="Rubrik4">
    <w:name w:val="heading 4"/>
    <w:basedOn w:val="Normal"/>
    <w:next w:val="Normal"/>
    <w:link w:val="Rubrik4Char"/>
    <w:semiHidden/>
    <w:unhideWhenUsed/>
    <w:qFormat/>
    <w:rsid w:val="00C7624A"/>
    <w:pPr>
      <w:keepNext/>
      <w:keepLines/>
      <w:numPr>
        <w:ilvl w:val="3"/>
        <w:numId w:val="29"/>
      </w:numPr>
      <w:spacing w:before="200"/>
      <w:outlineLvl w:val="3"/>
    </w:pPr>
    <w:rPr>
      <w:rFonts w:asciiTheme="majorHAnsi" w:eastAsiaTheme="majorEastAsia" w:hAnsiTheme="majorHAnsi" w:cstheme="majorBidi"/>
      <w:b/>
      <w:bCs/>
      <w:i/>
      <w:iCs/>
      <w:color w:val="0063AC" w:themeColor="accent1"/>
    </w:rPr>
  </w:style>
  <w:style w:type="paragraph" w:styleId="Rubrik5">
    <w:name w:val="heading 5"/>
    <w:basedOn w:val="Normal"/>
    <w:next w:val="Normal"/>
    <w:link w:val="Rubrik5Char"/>
    <w:semiHidden/>
    <w:unhideWhenUsed/>
    <w:qFormat/>
    <w:rsid w:val="00C7624A"/>
    <w:pPr>
      <w:keepNext/>
      <w:keepLines/>
      <w:numPr>
        <w:ilvl w:val="4"/>
        <w:numId w:val="29"/>
      </w:numPr>
      <w:spacing w:before="200"/>
      <w:outlineLvl w:val="4"/>
    </w:pPr>
    <w:rPr>
      <w:rFonts w:asciiTheme="majorHAnsi" w:eastAsiaTheme="majorEastAsia" w:hAnsiTheme="majorHAnsi" w:cstheme="majorBidi"/>
      <w:color w:val="003055" w:themeColor="accent1" w:themeShade="7F"/>
    </w:rPr>
  </w:style>
  <w:style w:type="paragraph" w:styleId="Rubrik6">
    <w:name w:val="heading 6"/>
    <w:basedOn w:val="Normal"/>
    <w:next w:val="Normal"/>
    <w:link w:val="Rubrik6Char"/>
    <w:semiHidden/>
    <w:unhideWhenUsed/>
    <w:qFormat/>
    <w:rsid w:val="00C7624A"/>
    <w:pPr>
      <w:keepNext/>
      <w:keepLines/>
      <w:numPr>
        <w:ilvl w:val="5"/>
        <w:numId w:val="29"/>
      </w:numPr>
      <w:spacing w:before="200"/>
      <w:outlineLvl w:val="5"/>
    </w:pPr>
    <w:rPr>
      <w:rFonts w:asciiTheme="majorHAnsi" w:eastAsiaTheme="majorEastAsia" w:hAnsiTheme="majorHAnsi" w:cstheme="majorBidi"/>
      <w:i/>
      <w:iCs/>
      <w:color w:val="003055" w:themeColor="accent1" w:themeShade="7F"/>
    </w:rPr>
  </w:style>
  <w:style w:type="paragraph" w:styleId="Rubrik7">
    <w:name w:val="heading 7"/>
    <w:basedOn w:val="Normal"/>
    <w:next w:val="Normal"/>
    <w:link w:val="Rubrik7Char"/>
    <w:semiHidden/>
    <w:unhideWhenUsed/>
    <w:qFormat/>
    <w:rsid w:val="00C7624A"/>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unhideWhenUsed/>
    <w:qFormat/>
    <w:rsid w:val="00C7624A"/>
    <w:pPr>
      <w:keepNext/>
      <w:keepLines/>
      <w:numPr>
        <w:ilvl w:val="7"/>
        <w:numId w:val="29"/>
      </w:numPr>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semiHidden/>
    <w:unhideWhenUsed/>
    <w:qFormat/>
    <w:rsid w:val="00C7624A"/>
    <w:pPr>
      <w:keepNext/>
      <w:keepLines/>
      <w:numPr>
        <w:ilvl w:val="8"/>
        <w:numId w:val="29"/>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86493"/>
    <w:rPr>
      <w:rFonts w:ascii="Arial" w:eastAsiaTheme="majorEastAsia" w:hAnsi="Arial" w:cs="Arial"/>
      <w:b/>
      <w:bCs/>
      <w:noProof w:val="0"/>
      <w:color w:val="000000"/>
      <w:sz w:val="24"/>
      <w:szCs w:val="28"/>
      <w:lang w:val="sv-SE" w:eastAsia="sv-SE"/>
    </w:rPr>
  </w:style>
  <w:style w:type="character" w:customStyle="1" w:styleId="Rubrik2Char">
    <w:name w:val="Rubrik 2 Char"/>
    <w:basedOn w:val="Standardstycketeckensnitt"/>
    <w:link w:val="Rubrik2"/>
    <w:rsid w:val="00986493"/>
    <w:rPr>
      <w:rFonts w:ascii="Arial" w:eastAsiaTheme="majorEastAsia" w:hAnsi="Arial" w:cs="Arial"/>
      <w:b/>
      <w:bCs/>
      <w:noProof w:val="0"/>
      <w:color w:val="000000"/>
      <w:sz w:val="22"/>
      <w:szCs w:val="26"/>
      <w:lang w:val="sv-SE" w:eastAsia="sv-SE"/>
    </w:rPr>
  </w:style>
  <w:style w:type="character" w:customStyle="1" w:styleId="Rubrik3Char">
    <w:name w:val="Rubrik 3 Char"/>
    <w:basedOn w:val="Standardstycketeckensnitt"/>
    <w:link w:val="Rubrik3"/>
    <w:rsid w:val="00986493"/>
    <w:rPr>
      <w:rFonts w:ascii="Arial" w:eastAsiaTheme="majorEastAsia" w:hAnsi="Arial" w:cs="Arial"/>
      <w:bCs/>
      <w:i/>
      <w:noProof w:val="0"/>
      <w:color w:val="000000"/>
      <w:sz w:val="22"/>
      <w:szCs w:val="24"/>
      <w:lang w:val="sv-SE" w:eastAsia="sv-SE"/>
    </w:rPr>
  </w:style>
  <w:style w:type="numbering" w:customStyle="1" w:styleId="CompanyList">
    <w:name w:val="Company_List"/>
    <w:basedOn w:val="Ingenlista"/>
    <w:rsid w:val="002C726F"/>
    <w:pPr>
      <w:numPr>
        <w:numId w:val="26"/>
      </w:numPr>
    </w:pPr>
  </w:style>
  <w:style w:type="numbering" w:customStyle="1" w:styleId="CompanyListBullet">
    <w:name w:val="Company_ListBullet"/>
    <w:basedOn w:val="Ingenlista"/>
    <w:rsid w:val="002C726F"/>
    <w:pPr>
      <w:numPr>
        <w:numId w:val="27"/>
      </w:numPr>
    </w:pPr>
  </w:style>
  <w:style w:type="paragraph" w:styleId="Punktlista">
    <w:name w:val="List Bullet"/>
    <w:basedOn w:val="Normal"/>
    <w:rsid w:val="00986493"/>
    <w:pPr>
      <w:numPr>
        <w:numId w:val="13"/>
      </w:numPr>
      <w:contextualSpacing/>
    </w:pPr>
  </w:style>
  <w:style w:type="paragraph" w:styleId="Sidhuvud">
    <w:name w:val="header"/>
    <w:basedOn w:val="Normal"/>
    <w:link w:val="SidhuvudChar"/>
    <w:rsid w:val="00986493"/>
    <w:pPr>
      <w:tabs>
        <w:tab w:val="center" w:pos="4680"/>
        <w:tab w:val="right" w:pos="9360"/>
      </w:tabs>
    </w:pPr>
    <w:rPr>
      <w:sz w:val="18"/>
    </w:rPr>
  </w:style>
  <w:style w:type="character" w:customStyle="1" w:styleId="SidhuvudChar">
    <w:name w:val="Sidhuvud Char"/>
    <w:basedOn w:val="Standardstycketeckensnitt"/>
    <w:link w:val="Sidhuvud"/>
    <w:rsid w:val="00986493"/>
    <w:rPr>
      <w:rFonts w:ascii="Arial" w:hAnsi="Arial" w:cs="Arial"/>
      <w:noProof w:val="0"/>
      <w:color w:val="000000"/>
      <w:sz w:val="18"/>
      <w:szCs w:val="24"/>
      <w:lang w:val="sv-SE" w:eastAsia="sv-SE"/>
    </w:rPr>
  </w:style>
  <w:style w:type="paragraph" w:styleId="Sidfot">
    <w:name w:val="footer"/>
    <w:basedOn w:val="Normal"/>
    <w:link w:val="SidfotChar"/>
    <w:rsid w:val="00986493"/>
    <w:pPr>
      <w:tabs>
        <w:tab w:val="center" w:pos="4680"/>
        <w:tab w:val="right" w:pos="9360"/>
      </w:tabs>
    </w:pPr>
    <w:rPr>
      <w:sz w:val="18"/>
    </w:rPr>
  </w:style>
  <w:style w:type="character" w:customStyle="1" w:styleId="SidfotChar">
    <w:name w:val="Sidfot Char"/>
    <w:basedOn w:val="Standardstycketeckensnitt"/>
    <w:link w:val="Sidfot"/>
    <w:rsid w:val="00986493"/>
    <w:rPr>
      <w:rFonts w:ascii="Arial" w:hAnsi="Arial" w:cs="Arial"/>
      <w:noProof w:val="0"/>
      <w:color w:val="000000"/>
      <w:sz w:val="18"/>
      <w:szCs w:val="24"/>
      <w:lang w:val="sv-SE" w:eastAsia="sv-SE"/>
    </w:rPr>
  </w:style>
  <w:style w:type="paragraph" w:styleId="Innehll1">
    <w:name w:val="toc 1"/>
    <w:basedOn w:val="Normal"/>
    <w:next w:val="Normal"/>
    <w:autoRedefine/>
    <w:uiPriority w:val="39"/>
    <w:rsid w:val="00986493"/>
    <w:pPr>
      <w:spacing w:before="260"/>
    </w:pPr>
    <w:rPr>
      <w:b/>
    </w:rPr>
  </w:style>
  <w:style w:type="paragraph" w:styleId="Innehll2">
    <w:name w:val="toc 2"/>
    <w:basedOn w:val="Normal"/>
    <w:next w:val="Normal"/>
    <w:autoRedefine/>
    <w:uiPriority w:val="39"/>
    <w:rsid w:val="00986493"/>
    <w:pPr>
      <w:ind w:left="200"/>
    </w:pPr>
  </w:style>
  <w:style w:type="paragraph" w:styleId="Innehll3">
    <w:name w:val="toc 3"/>
    <w:basedOn w:val="Normal"/>
    <w:next w:val="Normal"/>
    <w:autoRedefine/>
    <w:rsid w:val="00986493"/>
    <w:pPr>
      <w:ind w:left="400"/>
    </w:pPr>
  </w:style>
  <w:style w:type="paragraph" w:styleId="Innehll4">
    <w:name w:val="toc 4"/>
    <w:basedOn w:val="Normal"/>
    <w:next w:val="Normal"/>
    <w:autoRedefine/>
    <w:rsid w:val="00986493"/>
    <w:pPr>
      <w:ind w:left="600"/>
    </w:pPr>
  </w:style>
  <w:style w:type="paragraph" w:styleId="Lista">
    <w:name w:val="List"/>
    <w:basedOn w:val="Normal"/>
    <w:rsid w:val="00986493"/>
    <w:pPr>
      <w:ind w:left="283" w:hanging="283"/>
      <w:contextualSpacing/>
    </w:pPr>
  </w:style>
  <w:style w:type="paragraph" w:styleId="Listafortstt">
    <w:name w:val="List Continue"/>
    <w:basedOn w:val="Normal"/>
    <w:rsid w:val="00986493"/>
    <w:pPr>
      <w:spacing w:after="120"/>
      <w:ind w:left="283"/>
      <w:contextualSpacing/>
    </w:pPr>
  </w:style>
  <w:style w:type="paragraph" w:styleId="Liststycke">
    <w:name w:val="List Paragraph"/>
    <w:basedOn w:val="Normal"/>
    <w:uiPriority w:val="34"/>
    <w:qFormat/>
    <w:rsid w:val="00986493"/>
    <w:pPr>
      <w:ind w:left="720"/>
      <w:contextualSpacing/>
    </w:pPr>
  </w:style>
  <w:style w:type="numbering" w:customStyle="1" w:styleId="Nummerlista">
    <w:name w:val="Nummer lista"/>
    <w:basedOn w:val="Ingenlista"/>
    <w:semiHidden/>
    <w:rsid w:val="00986493"/>
    <w:pPr>
      <w:numPr>
        <w:numId w:val="8"/>
      </w:numPr>
    </w:pPr>
  </w:style>
  <w:style w:type="numbering" w:customStyle="1" w:styleId="Punkterlista">
    <w:name w:val="Punkter lista"/>
    <w:basedOn w:val="Ingenlista"/>
    <w:semiHidden/>
    <w:rsid w:val="00986493"/>
    <w:pPr>
      <w:numPr>
        <w:numId w:val="9"/>
      </w:numPr>
    </w:pPr>
  </w:style>
  <w:style w:type="table" w:styleId="Tabellrutnt">
    <w:name w:val="Table Grid"/>
    <w:basedOn w:val="Normaltabell"/>
    <w:rsid w:val="009864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ngtext">
    <w:name w:val="Balloon Text"/>
    <w:basedOn w:val="Normal"/>
    <w:link w:val="BallongtextChar"/>
    <w:rsid w:val="0098649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86493"/>
    <w:rPr>
      <w:rFonts w:ascii="Tahoma" w:hAnsi="Tahoma" w:cs="Tahoma"/>
      <w:noProof w:val="0"/>
      <w:color w:val="000000"/>
      <w:sz w:val="16"/>
      <w:szCs w:val="16"/>
      <w:lang w:val="sv-SE" w:eastAsia="sv-SE"/>
    </w:rPr>
  </w:style>
  <w:style w:type="paragraph" w:customStyle="1" w:styleId="Normalutanavstnd">
    <w:name w:val="Normal utan avstånd"/>
    <w:basedOn w:val="Normal"/>
    <w:rsid w:val="00986493"/>
  </w:style>
  <w:style w:type="paragraph" w:customStyle="1" w:styleId="Etikett">
    <w:name w:val="Etikett"/>
    <w:basedOn w:val="Normal"/>
    <w:rsid w:val="00E56F31"/>
    <w:pPr>
      <w:jc w:val="right"/>
    </w:pPr>
    <w:rPr>
      <w:sz w:val="18"/>
    </w:rPr>
  </w:style>
  <w:style w:type="paragraph" w:customStyle="1" w:styleId="Huvudrubrik">
    <w:name w:val="Huvudrubrik"/>
    <w:basedOn w:val="Normal"/>
    <w:next w:val="Normal"/>
    <w:link w:val="HuvudrubrikChar"/>
    <w:qFormat/>
    <w:rsid w:val="006A2ECB"/>
    <w:pPr>
      <w:spacing w:before="360" w:after="120" w:line="240" w:lineRule="auto"/>
    </w:pPr>
    <w:rPr>
      <w:b/>
      <w:sz w:val="28"/>
    </w:rPr>
  </w:style>
  <w:style w:type="paragraph" w:customStyle="1" w:styleId="Heading1No">
    <w:name w:val="Heading_1 No"/>
    <w:basedOn w:val="Normal"/>
    <w:next w:val="Normal"/>
    <w:link w:val="Heading1NoChar"/>
    <w:rsid w:val="00C7624A"/>
    <w:pPr>
      <w:keepNext/>
      <w:numPr>
        <w:numId w:val="29"/>
      </w:numPr>
      <w:spacing w:before="360" w:after="60"/>
      <w:outlineLvl w:val="0"/>
    </w:pPr>
    <w:rPr>
      <w:b/>
      <w:sz w:val="24"/>
    </w:rPr>
  </w:style>
  <w:style w:type="character" w:customStyle="1" w:styleId="HuvudrubrikChar">
    <w:name w:val="Huvudrubrik Char"/>
    <w:basedOn w:val="Standardstycketeckensnitt"/>
    <w:link w:val="Huvudrubrik"/>
    <w:rsid w:val="008719A3"/>
    <w:rPr>
      <w:rFonts w:ascii="Arial" w:hAnsi="Arial" w:cs="Arial"/>
      <w:b/>
      <w:noProof w:val="0"/>
      <w:color w:val="000000"/>
      <w:sz w:val="28"/>
      <w:szCs w:val="24"/>
      <w:lang w:val="sv-SE" w:eastAsia="sv-SE"/>
    </w:rPr>
  </w:style>
  <w:style w:type="character" w:customStyle="1" w:styleId="Heading1NoChar">
    <w:name w:val="Heading_1 No Char"/>
    <w:basedOn w:val="Standardstycketeckensnitt"/>
    <w:link w:val="Heading1No"/>
    <w:rsid w:val="00C7624A"/>
    <w:rPr>
      <w:rFonts w:ascii="Arial" w:hAnsi="Arial" w:cs="Arial"/>
      <w:b/>
      <w:noProof w:val="0"/>
      <w:color w:val="000000"/>
      <w:sz w:val="24"/>
      <w:szCs w:val="24"/>
      <w:lang w:val="sv-SE" w:eastAsia="sv-SE"/>
    </w:rPr>
  </w:style>
  <w:style w:type="paragraph" w:customStyle="1" w:styleId="Heading2No">
    <w:name w:val="Heading_2 No"/>
    <w:basedOn w:val="Normal"/>
    <w:next w:val="Normal"/>
    <w:link w:val="Heading2NoChar"/>
    <w:rsid w:val="00C7624A"/>
    <w:pPr>
      <w:keepNext/>
      <w:numPr>
        <w:ilvl w:val="1"/>
        <w:numId w:val="29"/>
      </w:numPr>
      <w:spacing w:before="360" w:after="60"/>
      <w:outlineLvl w:val="1"/>
    </w:pPr>
    <w:rPr>
      <w:b/>
    </w:rPr>
  </w:style>
  <w:style w:type="character" w:customStyle="1" w:styleId="Heading2NoChar">
    <w:name w:val="Heading_2 No Char"/>
    <w:basedOn w:val="Standardstycketeckensnitt"/>
    <w:link w:val="Heading2No"/>
    <w:rsid w:val="00C7624A"/>
    <w:rPr>
      <w:rFonts w:ascii="Arial" w:hAnsi="Arial" w:cs="Arial"/>
      <w:b/>
      <w:noProof w:val="0"/>
      <w:color w:val="000000"/>
      <w:sz w:val="22"/>
      <w:szCs w:val="24"/>
      <w:lang w:val="sv-SE" w:eastAsia="sv-SE"/>
    </w:rPr>
  </w:style>
  <w:style w:type="paragraph" w:customStyle="1" w:styleId="Heading3No">
    <w:name w:val="Heading_3 No"/>
    <w:basedOn w:val="Normal"/>
    <w:next w:val="Normal"/>
    <w:link w:val="Heading3NoChar"/>
    <w:rsid w:val="00C7624A"/>
    <w:pPr>
      <w:keepNext/>
      <w:numPr>
        <w:ilvl w:val="2"/>
        <w:numId w:val="29"/>
      </w:numPr>
      <w:spacing w:before="360" w:after="60"/>
      <w:outlineLvl w:val="2"/>
    </w:pPr>
    <w:rPr>
      <w:i/>
    </w:rPr>
  </w:style>
  <w:style w:type="character" w:customStyle="1" w:styleId="Heading3NoChar">
    <w:name w:val="Heading_3 No Char"/>
    <w:basedOn w:val="Standardstycketeckensnitt"/>
    <w:link w:val="Heading3No"/>
    <w:rsid w:val="00C7624A"/>
    <w:rPr>
      <w:rFonts w:ascii="Arial" w:hAnsi="Arial" w:cs="Arial"/>
      <w:i/>
      <w:noProof w:val="0"/>
      <w:color w:val="000000"/>
      <w:sz w:val="22"/>
      <w:szCs w:val="24"/>
      <w:lang w:val="sv-SE" w:eastAsia="sv-SE"/>
    </w:rPr>
  </w:style>
  <w:style w:type="character" w:customStyle="1" w:styleId="Rubrik5Char">
    <w:name w:val="Rubrik 5 Char"/>
    <w:basedOn w:val="Standardstycketeckensnitt"/>
    <w:link w:val="Rubrik5"/>
    <w:semiHidden/>
    <w:rsid w:val="00C7624A"/>
    <w:rPr>
      <w:rFonts w:asciiTheme="majorHAnsi" w:eastAsiaTheme="majorEastAsia" w:hAnsiTheme="majorHAnsi" w:cstheme="majorBidi"/>
      <w:noProof w:val="0"/>
      <w:color w:val="003055" w:themeColor="accent1" w:themeShade="7F"/>
      <w:sz w:val="22"/>
      <w:szCs w:val="24"/>
      <w:lang w:val="sv-SE" w:eastAsia="sv-SE"/>
    </w:rPr>
  </w:style>
  <w:style w:type="character" w:customStyle="1" w:styleId="Rubrik6Char">
    <w:name w:val="Rubrik 6 Char"/>
    <w:basedOn w:val="Standardstycketeckensnitt"/>
    <w:link w:val="Rubrik6"/>
    <w:semiHidden/>
    <w:rsid w:val="00C7624A"/>
    <w:rPr>
      <w:rFonts w:asciiTheme="majorHAnsi" w:eastAsiaTheme="majorEastAsia" w:hAnsiTheme="majorHAnsi" w:cstheme="majorBidi"/>
      <w:i/>
      <w:iCs/>
      <w:noProof w:val="0"/>
      <w:color w:val="003055" w:themeColor="accent1" w:themeShade="7F"/>
      <w:sz w:val="22"/>
      <w:szCs w:val="24"/>
      <w:lang w:val="sv-SE" w:eastAsia="sv-SE"/>
    </w:rPr>
  </w:style>
  <w:style w:type="character" w:customStyle="1" w:styleId="Rubrik7Char">
    <w:name w:val="Rubrik 7 Char"/>
    <w:basedOn w:val="Standardstycketeckensnitt"/>
    <w:link w:val="Rubrik7"/>
    <w:semiHidden/>
    <w:rsid w:val="00C7624A"/>
    <w:rPr>
      <w:rFonts w:asciiTheme="majorHAnsi" w:eastAsiaTheme="majorEastAsia" w:hAnsiTheme="majorHAnsi" w:cstheme="majorBidi"/>
      <w:i/>
      <w:iCs/>
      <w:noProof w:val="0"/>
      <w:color w:val="404040" w:themeColor="text1" w:themeTint="BF"/>
      <w:sz w:val="22"/>
      <w:szCs w:val="24"/>
      <w:lang w:val="sv-SE" w:eastAsia="sv-SE"/>
    </w:rPr>
  </w:style>
  <w:style w:type="character" w:customStyle="1" w:styleId="Rubrik8Char">
    <w:name w:val="Rubrik 8 Char"/>
    <w:basedOn w:val="Standardstycketeckensnitt"/>
    <w:link w:val="Rubrik8"/>
    <w:semiHidden/>
    <w:rsid w:val="00C7624A"/>
    <w:rPr>
      <w:rFonts w:asciiTheme="majorHAnsi" w:eastAsiaTheme="majorEastAsia" w:hAnsiTheme="majorHAnsi" w:cstheme="majorBidi"/>
      <w:noProof w:val="0"/>
      <w:color w:val="404040" w:themeColor="text1" w:themeTint="BF"/>
      <w:lang w:val="sv-SE" w:eastAsia="sv-SE"/>
    </w:rPr>
  </w:style>
  <w:style w:type="character" w:customStyle="1" w:styleId="Rubrik9Char">
    <w:name w:val="Rubrik 9 Char"/>
    <w:basedOn w:val="Standardstycketeckensnitt"/>
    <w:link w:val="Rubrik9"/>
    <w:semiHidden/>
    <w:rsid w:val="00C7624A"/>
    <w:rPr>
      <w:rFonts w:asciiTheme="majorHAnsi" w:eastAsiaTheme="majorEastAsia" w:hAnsiTheme="majorHAnsi" w:cstheme="majorBidi"/>
      <w:i/>
      <w:iCs/>
      <w:noProof w:val="0"/>
      <w:color w:val="404040" w:themeColor="text1" w:themeTint="BF"/>
      <w:lang w:val="sv-SE" w:eastAsia="sv-SE"/>
    </w:rPr>
  </w:style>
  <w:style w:type="character" w:customStyle="1" w:styleId="Rubrik4Char">
    <w:name w:val="Rubrik 4 Char"/>
    <w:basedOn w:val="Standardstycketeckensnitt"/>
    <w:link w:val="Rubrik4"/>
    <w:semiHidden/>
    <w:rsid w:val="00C7624A"/>
    <w:rPr>
      <w:rFonts w:asciiTheme="majorHAnsi" w:eastAsiaTheme="majorEastAsia" w:hAnsiTheme="majorHAnsi" w:cstheme="majorBidi"/>
      <w:b/>
      <w:bCs/>
      <w:i/>
      <w:iCs/>
      <w:noProof w:val="0"/>
      <w:color w:val="0063AC" w:themeColor="accent1"/>
      <w:sz w:val="22"/>
      <w:szCs w:val="24"/>
      <w:lang w:val="sv-SE" w:eastAsia="sv-SE"/>
    </w:rPr>
  </w:style>
  <w:style w:type="paragraph" w:styleId="Fotnotstext">
    <w:name w:val="footnote text"/>
    <w:basedOn w:val="Normal"/>
    <w:link w:val="FotnotstextChar"/>
    <w:semiHidden/>
    <w:unhideWhenUsed/>
    <w:rsid w:val="00DB5BA6"/>
    <w:pPr>
      <w:spacing w:line="240" w:lineRule="auto"/>
    </w:pPr>
    <w:rPr>
      <w:sz w:val="20"/>
      <w:szCs w:val="20"/>
    </w:rPr>
  </w:style>
  <w:style w:type="character" w:customStyle="1" w:styleId="FotnotstextChar">
    <w:name w:val="Fotnotstext Char"/>
    <w:basedOn w:val="Standardstycketeckensnitt"/>
    <w:link w:val="Fotnotstext"/>
    <w:semiHidden/>
    <w:rsid w:val="00DB5BA6"/>
    <w:rPr>
      <w:rFonts w:ascii="Arial" w:hAnsi="Arial" w:cs="Arial"/>
      <w:noProof w:val="0"/>
      <w:color w:val="000000"/>
      <w:lang w:val="sv-SE" w:eastAsia="sv-SE"/>
    </w:rPr>
  </w:style>
  <w:style w:type="character" w:styleId="Fotnotsreferens">
    <w:name w:val="footnote reference"/>
    <w:basedOn w:val="Standardstycketeckensnitt"/>
    <w:semiHidden/>
    <w:unhideWhenUsed/>
    <w:rsid w:val="00DB5BA6"/>
    <w:rPr>
      <w:noProof w:val="0"/>
      <w:vertAlign w:val="superscript"/>
      <w:lang w:val="sv-SE"/>
    </w:rPr>
  </w:style>
  <w:style w:type="character" w:styleId="Hyperlnk">
    <w:name w:val="Hyperlink"/>
    <w:basedOn w:val="Standardstycketeckensnitt"/>
    <w:uiPriority w:val="99"/>
    <w:unhideWhenUsed/>
    <w:rsid w:val="00F11732"/>
    <w:rPr>
      <w:noProof w:val="0"/>
      <w:color w:val="666666" w:themeColor="hyperlink"/>
      <w:u w:val="single"/>
      <w:lang w:val="sv-SE"/>
    </w:rPr>
  </w:style>
  <w:style w:type="character" w:customStyle="1" w:styleId="Olstomnmnande1">
    <w:name w:val="Olöst omnämnande1"/>
    <w:basedOn w:val="Standardstycketeckensnitt"/>
    <w:uiPriority w:val="99"/>
    <w:semiHidden/>
    <w:unhideWhenUsed/>
    <w:rsid w:val="00F11732"/>
    <w:rPr>
      <w:noProof w:val="0"/>
      <w:color w:val="605E5C"/>
      <w:shd w:val="clear" w:color="auto" w:fill="E1DFDD"/>
      <w:lang w:val="sv-SE"/>
    </w:rPr>
  </w:style>
  <w:style w:type="paragraph" w:styleId="Innehllsfrteckningsrubrik">
    <w:name w:val="TOC Heading"/>
    <w:basedOn w:val="Rubrik1"/>
    <w:next w:val="Normal"/>
    <w:uiPriority w:val="39"/>
    <w:unhideWhenUsed/>
    <w:qFormat/>
    <w:rsid w:val="001711AD"/>
    <w:pPr>
      <w:keepLines/>
      <w:spacing w:before="240" w:after="0" w:line="259" w:lineRule="auto"/>
      <w:outlineLvl w:val="9"/>
    </w:pPr>
    <w:rPr>
      <w:rFonts w:asciiTheme="majorHAnsi" w:hAnsiTheme="majorHAnsi" w:cstheme="majorBidi"/>
      <w:b w:val="0"/>
      <w:bCs w:val="0"/>
      <w:color w:val="004980" w:themeColor="accent1" w:themeShade="BF"/>
      <w:sz w:val="32"/>
      <w:szCs w:val="32"/>
    </w:rPr>
  </w:style>
  <w:style w:type="character" w:styleId="Kommentarsreferens">
    <w:name w:val="annotation reference"/>
    <w:basedOn w:val="Standardstycketeckensnitt"/>
    <w:semiHidden/>
    <w:unhideWhenUsed/>
    <w:rsid w:val="00F37898"/>
    <w:rPr>
      <w:sz w:val="16"/>
      <w:szCs w:val="16"/>
    </w:rPr>
  </w:style>
  <w:style w:type="paragraph" w:styleId="Kommentarer">
    <w:name w:val="annotation text"/>
    <w:basedOn w:val="Normal"/>
    <w:link w:val="KommentarerChar"/>
    <w:semiHidden/>
    <w:unhideWhenUsed/>
    <w:rsid w:val="00F37898"/>
    <w:pPr>
      <w:spacing w:line="240" w:lineRule="auto"/>
    </w:pPr>
    <w:rPr>
      <w:sz w:val="20"/>
      <w:szCs w:val="20"/>
    </w:rPr>
  </w:style>
  <w:style w:type="character" w:customStyle="1" w:styleId="KommentarerChar">
    <w:name w:val="Kommentarer Char"/>
    <w:basedOn w:val="Standardstycketeckensnitt"/>
    <w:link w:val="Kommentarer"/>
    <w:semiHidden/>
    <w:rsid w:val="00F37898"/>
    <w:rPr>
      <w:rFonts w:ascii="Arial" w:hAnsi="Arial" w:cs="Arial"/>
      <w:color w:val="000000"/>
      <w:lang w:val="sv-SE" w:eastAsia="sv-SE"/>
    </w:rPr>
  </w:style>
  <w:style w:type="paragraph" w:styleId="Kommentarsmne">
    <w:name w:val="annotation subject"/>
    <w:basedOn w:val="Kommentarer"/>
    <w:next w:val="Kommentarer"/>
    <w:link w:val="KommentarsmneChar"/>
    <w:semiHidden/>
    <w:unhideWhenUsed/>
    <w:rsid w:val="00F37898"/>
    <w:rPr>
      <w:b/>
      <w:bCs/>
    </w:rPr>
  </w:style>
  <w:style w:type="character" w:customStyle="1" w:styleId="KommentarsmneChar">
    <w:name w:val="Kommentarsämne Char"/>
    <w:basedOn w:val="KommentarerChar"/>
    <w:link w:val="Kommentarsmne"/>
    <w:semiHidden/>
    <w:rsid w:val="00F37898"/>
    <w:rPr>
      <w:rFonts w:ascii="Arial" w:hAnsi="Arial" w:cs="Arial"/>
      <w:b/>
      <w:bCs/>
      <w:color w:val="000000"/>
      <w:lang w:val="sv-SE" w:eastAsia="sv-SE"/>
    </w:rPr>
  </w:style>
  <w:style w:type="character" w:styleId="AnvndHyperlnk">
    <w:name w:val="FollowedHyperlink"/>
    <w:basedOn w:val="Standardstycketeckensnitt"/>
    <w:semiHidden/>
    <w:unhideWhenUsed/>
    <w:rsid w:val="003A7356"/>
    <w:rPr>
      <w:color w:val="6666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812737">
      <w:bodyDiv w:val="1"/>
      <w:marLeft w:val="0"/>
      <w:marRight w:val="0"/>
      <w:marTop w:val="0"/>
      <w:marBottom w:val="0"/>
      <w:divBdr>
        <w:top w:val="none" w:sz="0" w:space="0" w:color="auto"/>
        <w:left w:val="none" w:sz="0" w:space="0" w:color="auto"/>
        <w:bottom w:val="none" w:sz="0" w:space="0" w:color="auto"/>
        <w:right w:val="none" w:sz="0" w:space="0" w:color="auto"/>
      </w:divBdr>
    </w:div>
    <w:div w:id="21095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wedishbankers.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jonny.sylven@swedishbankers.s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wedishbankers.se/fraagor-vi-arbetar-med/arbetsgruppen-foer-alternativa-raentor/uppdragsbeskrivning-foer-arbetsgruppen/" TargetMode="External"/><Relationship Id="rId2" Type="http://schemas.openxmlformats.org/officeDocument/2006/relationships/hyperlink" Target="https://eur-lex.europa.eu/legal-content/SV/TXT/?uri=CELEX%3A32016R1011" TargetMode="External"/><Relationship Id="rId1" Type="http://schemas.openxmlformats.org/officeDocument/2006/relationships/hyperlink" Target="http://www.fsb.org/2014/07/r_140722b/" TargetMode="External"/><Relationship Id="rId6" Type="http://schemas.openxmlformats.org/officeDocument/2006/relationships/hyperlink" Target="https://eur02.safelinks.protection.outlook.com/?url=https%3A%2F%2Fwww.riksbank.se%2Fglobalassets%2Fmedia%2Frapporter%2Fovriga-rapporter%2Friksbankens-penningpolitiska-styrsystem---overgripande-beskrivning.pdf&amp;data=01%7C01%7C%7C04b669cd1a7a4c70f88908d6b29f520e%7C49852dc28ad648da8a50cf51cad5c586%7C0&amp;sdata=OuRoiApMIMrTTAieqRWjip7%2BHaRq6476KiR32J%2FRLZo%3D&amp;reserved=0" TargetMode="External"/><Relationship Id="rId5" Type="http://schemas.openxmlformats.org/officeDocument/2006/relationships/hyperlink" Target="https://eur02.safelinks.protection.outlook.com/?url=https%3A%2F%2Fwww.riksbank.se%2Fsv%2Fpenningpolitik%2Fgenomforande-av-penningpolitiska-beslut%2F&amp;data=01%7C01%7C%7C04b669cd1a7a4c70f88908d6b29f520e%7C49852dc28ad648da8a50cf51cad5c586%7C0&amp;sdata=0tY44YvLCiI8311s4NH2tMGTG3pKS4M%2FRoD8APD7lyE%3D&amp;reserved=0" TargetMode="External"/><Relationship Id="rId4" Type="http://schemas.openxmlformats.org/officeDocument/2006/relationships/hyperlink" Target="http://europa.eu/rapid/press-release_IP-19-1418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y\AppData\Roaming\Microsoft\Templates\Blank.dotm" TargetMode="External"/></Relationships>
</file>

<file path=word/theme/theme1.xml><?xml version="1.0" encoding="utf-8"?>
<a:theme xmlns:a="http://schemas.openxmlformats.org/drawingml/2006/main" name="Office-tema">
  <a:themeElements>
    <a:clrScheme name="Privattandläkarna">
      <a:dk1>
        <a:sysClr val="windowText" lastClr="000000"/>
      </a:dk1>
      <a:lt1>
        <a:sysClr val="window" lastClr="FFFFFF"/>
      </a:lt1>
      <a:dk2>
        <a:srgbClr val="666666"/>
      </a:dk2>
      <a:lt2>
        <a:srgbClr val="FFFFFF"/>
      </a:lt2>
      <a:accent1>
        <a:srgbClr val="0063AC"/>
      </a:accent1>
      <a:accent2>
        <a:srgbClr val="62BEDD"/>
      </a:accent2>
      <a:accent3>
        <a:srgbClr val="666666"/>
      </a:accent3>
      <a:accent4>
        <a:srgbClr val="CCCCCC"/>
      </a:accent4>
      <a:accent5>
        <a:srgbClr val="E64415"/>
      </a:accent5>
      <a:accent6>
        <a:srgbClr val="666666"/>
      </a:accent6>
      <a:hlink>
        <a:srgbClr val="666666"/>
      </a:hlink>
      <a:folHlink>
        <a:srgbClr val="66666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19AB-CE53-4AD2-9ED5-688A54E8B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83</TotalTime>
  <Pages>14</Pages>
  <Words>3940</Words>
  <Characters>24088</Characters>
  <Application>Microsoft Office Word</Application>
  <DocSecurity>0</DocSecurity>
  <Lines>200</Lines>
  <Paragraphs>55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Sylvén</dc:creator>
  <cp:keywords/>
  <dc:description/>
  <cp:lastModifiedBy>Jonny Sylvén</cp:lastModifiedBy>
  <cp:revision>8</cp:revision>
  <dcterms:created xsi:type="dcterms:W3CDTF">2019-04-03T13:35:00Z</dcterms:created>
  <dcterms:modified xsi:type="dcterms:W3CDTF">2019-04-08T10:25:00Z</dcterms:modified>
</cp:coreProperties>
</file>